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6569" w:rsidRPr="00B22673" w:rsidRDefault="003F6569" w:rsidP="003F6569">
      <w:p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  <w:b/>
        </w:rPr>
        <w:t>Занятие №10</w:t>
      </w:r>
    </w:p>
    <w:p w:rsidR="003F6569" w:rsidRPr="00B22673" w:rsidRDefault="003F6569" w:rsidP="003F6569">
      <w:p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  <w:b/>
        </w:rPr>
        <w:t xml:space="preserve">Тема: </w:t>
      </w:r>
      <w:r w:rsidR="00EE70F9">
        <w:rPr>
          <w:rFonts w:ascii="Times New Roman" w:hAnsi="Times New Roman"/>
          <w:b/>
        </w:rPr>
        <w:t>Организация санитарно-</w:t>
      </w:r>
      <w:bookmarkStart w:id="0" w:name="_GoBack"/>
      <w:bookmarkEnd w:id="0"/>
      <w:r w:rsidR="003E135C" w:rsidRPr="00B22673">
        <w:rPr>
          <w:rFonts w:ascii="Times New Roman" w:hAnsi="Times New Roman"/>
          <w:b/>
        </w:rPr>
        <w:t xml:space="preserve">противоэпидемического режима в лабораториях. </w:t>
      </w:r>
    </w:p>
    <w:p w:rsidR="003F6569" w:rsidRPr="00B22673" w:rsidRDefault="003F6569" w:rsidP="003F6569">
      <w:pPr>
        <w:spacing w:after="0" w:line="240" w:lineRule="auto"/>
        <w:ind w:left="26" w:firstLine="825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  <w:b/>
        </w:rPr>
        <w:t>Вопросы, рассматриваемые на занятии:</w:t>
      </w:r>
    </w:p>
    <w:p w:rsidR="003F6569" w:rsidRPr="00B22673" w:rsidRDefault="003E135C" w:rsidP="003F6569">
      <w:pPr>
        <w:pStyle w:val="a3"/>
        <w:numPr>
          <w:ilvl w:val="0"/>
          <w:numId w:val="1"/>
        </w:num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</w:rPr>
        <w:t xml:space="preserve">Принципы правильной организации работ в ПЦР-лаборатории. </w:t>
      </w:r>
    </w:p>
    <w:p w:rsidR="003F6569" w:rsidRPr="00B22673" w:rsidRDefault="003E135C" w:rsidP="003F6569">
      <w:pPr>
        <w:pStyle w:val="a3"/>
        <w:numPr>
          <w:ilvl w:val="0"/>
          <w:numId w:val="1"/>
        </w:num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</w:rPr>
        <w:t xml:space="preserve">Комплексное оснащение ПЦР – лаборатории. </w:t>
      </w:r>
    </w:p>
    <w:p w:rsidR="003F6569" w:rsidRPr="00B22673" w:rsidRDefault="003E135C" w:rsidP="003F6569">
      <w:pPr>
        <w:pStyle w:val="a3"/>
        <w:numPr>
          <w:ilvl w:val="0"/>
          <w:numId w:val="1"/>
        </w:num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</w:rPr>
        <w:t>Способы  обеззараживания материала, исследуемого методом ПЦР (</w:t>
      </w:r>
      <w:r w:rsidRPr="00B22673">
        <w:rPr>
          <w:rFonts w:ascii="Times New Roman" w:hAnsi="Times New Roman"/>
          <w:color w:val="000000"/>
        </w:rPr>
        <w:t>МУ 1.3. 2569-09</w:t>
      </w:r>
      <w:r w:rsidRPr="00B22673">
        <w:rPr>
          <w:rFonts w:ascii="Times New Roman" w:hAnsi="Times New Roman"/>
        </w:rPr>
        <w:t xml:space="preserve">, Приложение </w:t>
      </w:r>
      <w:r w:rsidRPr="00B22673">
        <w:rPr>
          <w:rFonts w:ascii="Times New Roman" w:hAnsi="Times New Roman"/>
        </w:rPr>
        <w:t xml:space="preserve">5). </w:t>
      </w:r>
    </w:p>
    <w:p w:rsidR="003F6569" w:rsidRPr="00B22673" w:rsidRDefault="003E135C" w:rsidP="003F6569">
      <w:pPr>
        <w:pStyle w:val="a3"/>
        <w:numPr>
          <w:ilvl w:val="0"/>
          <w:numId w:val="1"/>
        </w:numPr>
        <w:spacing w:after="0"/>
        <w:ind w:left="26" w:firstLine="825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</w:rPr>
        <w:t>Выбор типа защитного костюма (рабочей одежды и средств индивидуальной защиты)  в зависимости от вида возбудителя, рабочей зоны, оснащения ее боксами биологической безопасности в соответствии с действующими СП (</w:t>
      </w:r>
      <w:r w:rsidRPr="00B22673">
        <w:rPr>
          <w:rFonts w:ascii="Times New Roman" w:hAnsi="Times New Roman"/>
          <w:color w:val="000000"/>
        </w:rPr>
        <w:t>МУ 1.3. 2569-09</w:t>
      </w:r>
      <w:r w:rsidRPr="00B22673">
        <w:rPr>
          <w:rFonts w:ascii="Times New Roman" w:hAnsi="Times New Roman"/>
        </w:rPr>
        <w:t xml:space="preserve">, Приложение 4). </w:t>
      </w:r>
      <w:r w:rsidRPr="00B22673">
        <w:rPr>
          <w:rFonts w:ascii="Times New Roman" w:hAnsi="Times New Roman"/>
          <w:b/>
        </w:rPr>
        <w:t xml:space="preserve"> </w:t>
      </w:r>
    </w:p>
    <w:p w:rsidR="004C007D" w:rsidRPr="000A4C27" w:rsidRDefault="003E135C" w:rsidP="003F6569">
      <w:pPr>
        <w:pStyle w:val="a3"/>
        <w:numPr>
          <w:ilvl w:val="0"/>
          <w:numId w:val="1"/>
        </w:numPr>
        <w:spacing w:after="0"/>
        <w:ind w:left="26" w:firstLine="825"/>
        <w:jc w:val="both"/>
        <w:rPr>
          <w:rFonts w:ascii="Times New Roman" w:hAnsi="Times New Roman"/>
          <w:b/>
        </w:rPr>
      </w:pPr>
      <w:r w:rsidRPr="000A4C27">
        <w:rPr>
          <w:rFonts w:ascii="Times New Roman" w:hAnsi="Times New Roman"/>
        </w:rPr>
        <w:t>Порядок о</w:t>
      </w:r>
      <w:r w:rsidRPr="000A4C27">
        <w:rPr>
          <w:rFonts w:ascii="Times New Roman" w:hAnsi="Times New Roman"/>
        </w:rPr>
        <w:t>беззараживания и утилизации отработанного исследуемого материала и отходов после проведения исследований. Обработка рабочей одежды (</w:t>
      </w:r>
      <w:r w:rsidRPr="000A4C27">
        <w:rPr>
          <w:rFonts w:ascii="Times New Roman" w:hAnsi="Times New Roman"/>
          <w:color w:val="000000"/>
        </w:rPr>
        <w:t>МУ 1.3. 2569-09</w:t>
      </w:r>
      <w:r w:rsidRPr="000A4C27">
        <w:rPr>
          <w:rFonts w:ascii="Times New Roman" w:hAnsi="Times New Roman"/>
        </w:rPr>
        <w:t>, Приложение 6)</w:t>
      </w:r>
      <w:r w:rsidRPr="000A4C27">
        <w:rPr>
          <w:rFonts w:ascii="Times New Roman" w:hAnsi="Times New Roman"/>
          <w:color w:val="4F81BD"/>
        </w:rPr>
        <w:t>.</w:t>
      </w:r>
    </w:p>
    <w:p w:rsidR="004C007D" w:rsidRPr="00B22673" w:rsidRDefault="004C007D" w:rsidP="003F6569">
      <w:pPr>
        <w:snapToGrid w:val="0"/>
        <w:spacing w:after="0" w:line="240" w:lineRule="auto"/>
        <w:ind w:left="26" w:firstLineChars="400" w:firstLine="960"/>
        <w:rPr>
          <w:rFonts w:ascii="Times New Roman" w:hAnsi="Times New Roman"/>
        </w:rPr>
      </w:pPr>
    </w:p>
    <w:p w:rsidR="00B157A2" w:rsidRPr="00B22673" w:rsidRDefault="00B157A2" w:rsidP="003F6569">
      <w:pPr>
        <w:snapToGrid w:val="0"/>
        <w:spacing w:after="0" w:line="240" w:lineRule="auto"/>
        <w:ind w:left="26" w:firstLineChars="400" w:firstLine="960"/>
        <w:rPr>
          <w:rFonts w:ascii="Times New Roman" w:hAnsi="Times New Roman"/>
        </w:rPr>
      </w:pPr>
    </w:p>
    <w:p w:rsidR="00B157A2" w:rsidRPr="00B22673" w:rsidRDefault="00B157A2" w:rsidP="00B157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  <w:b/>
        </w:rPr>
        <w:t xml:space="preserve">Принципы правильной организации работ в ПЦР-лаборатории. </w:t>
      </w:r>
    </w:p>
    <w:p w:rsidR="00B157A2" w:rsidRPr="00B22673" w:rsidRDefault="00B157A2" w:rsidP="00B157A2">
      <w:pPr>
        <w:pStyle w:val="bodytext"/>
        <w:rPr>
          <w:sz w:val="24"/>
          <w:szCs w:val="24"/>
        </w:rPr>
      </w:pPr>
      <w:r w:rsidRPr="00B22673">
        <w:rPr>
          <w:sz w:val="24"/>
          <w:szCs w:val="24"/>
        </w:rPr>
        <w:t>Исследование материала, содержащего (подозрительного на содержание) микроорганизмы I—I</w:t>
      </w:r>
      <w:r w:rsidRPr="00B22673">
        <w:rPr>
          <w:sz w:val="24"/>
          <w:szCs w:val="24"/>
          <w:lang w:val="en-US"/>
        </w:rPr>
        <w:t>V</w:t>
      </w:r>
      <w:r w:rsidRPr="00B22673">
        <w:rPr>
          <w:sz w:val="24"/>
          <w:szCs w:val="24"/>
        </w:rPr>
        <w:t xml:space="preserve"> групп патогенности, методами а</w:t>
      </w:r>
      <w:r w:rsidRPr="00B22673">
        <w:rPr>
          <w:sz w:val="24"/>
          <w:szCs w:val="24"/>
        </w:rPr>
        <w:t>м</w:t>
      </w:r>
      <w:r w:rsidRPr="00B22673">
        <w:rPr>
          <w:sz w:val="24"/>
          <w:szCs w:val="24"/>
        </w:rPr>
        <w:t>плификации нуклеиновых кислот (сигнала) связано с необходимостью одновременного обеспечения и соблюдения персоналом правил биол</w:t>
      </w:r>
      <w:r w:rsidRPr="00B22673">
        <w:rPr>
          <w:sz w:val="24"/>
          <w:szCs w:val="24"/>
        </w:rPr>
        <w:t>о</w:t>
      </w:r>
      <w:r w:rsidRPr="00B22673">
        <w:rPr>
          <w:sz w:val="24"/>
          <w:szCs w:val="24"/>
        </w:rPr>
        <w:t xml:space="preserve">гической безопасности и требований к организации и проведению данных работ с целью предотвращения контаминации нуклеиновыми кислотами и (или) </w:t>
      </w:r>
      <w:proofErr w:type="spellStart"/>
      <w:r w:rsidRPr="00B22673">
        <w:rPr>
          <w:sz w:val="24"/>
          <w:szCs w:val="24"/>
        </w:rPr>
        <w:t>ампликонами</w:t>
      </w:r>
      <w:proofErr w:type="spellEnd"/>
      <w:r w:rsidRPr="00B22673">
        <w:rPr>
          <w:sz w:val="24"/>
          <w:szCs w:val="24"/>
        </w:rPr>
        <w:t xml:space="preserve"> исследуемых проб  помещений и оборуд</w:t>
      </w:r>
      <w:r w:rsidRPr="00B22673">
        <w:rPr>
          <w:sz w:val="24"/>
          <w:szCs w:val="24"/>
        </w:rPr>
        <w:t>о</w:t>
      </w:r>
      <w:r w:rsidRPr="00B22673">
        <w:rPr>
          <w:sz w:val="24"/>
          <w:szCs w:val="24"/>
        </w:rPr>
        <w:t xml:space="preserve">вания. </w:t>
      </w:r>
    </w:p>
    <w:p w:rsidR="00B157A2" w:rsidRPr="00B22673" w:rsidRDefault="00B157A2" w:rsidP="00B157A2">
      <w:pPr>
        <w:pStyle w:val="bodytext"/>
        <w:rPr>
          <w:sz w:val="24"/>
          <w:szCs w:val="24"/>
        </w:rPr>
      </w:pPr>
      <w:r w:rsidRPr="00B22673">
        <w:rPr>
          <w:sz w:val="24"/>
          <w:szCs w:val="24"/>
        </w:rPr>
        <w:t>Данные исследования проводят в организациях, имеющих лицензию на деятельность, связанную с возбудителями инфекционных заболев</w:t>
      </w:r>
      <w:r w:rsidRPr="00B22673">
        <w:rPr>
          <w:sz w:val="24"/>
          <w:szCs w:val="24"/>
        </w:rPr>
        <w:t>а</w:t>
      </w:r>
      <w:r w:rsidRPr="00B22673">
        <w:rPr>
          <w:sz w:val="24"/>
          <w:szCs w:val="24"/>
        </w:rPr>
        <w:t>ний человека, в лабораториях, имеющих санитарно-эпидемио</w:t>
      </w:r>
      <w:r w:rsidRPr="00B22673">
        <w:rPr>
          <w:sz w:val="24"/>
          <w:szCs w:val="24"/>
        </w:rPr>
        <w:softHyphen/>
        <w:t>логическое заключение о возможности проведения данных работ, выданных в установленном поря</w:t>
      </w:r>
      <w:r w:rsidRPr="00B22673">
        <w:rPr>
          <w:sz w:val="24"/>
          <w:szCs w:val="24"/>
        </w:rPr>
        <w:t>д</w:t>
      </w:r>
      <w:r w:rsidRPr="00B22673">
        <w:rPr>
          <w:sz w:val="24"/>
          <w:szCs w:val="24"/>
        </w:rPr>
        <w:t>ке.</w:t>
      </w:r>
    </w:p>
    <w:p w:rsidR="00B157A2" w:rsidRPr="00B22673" w:rsidRDefault="00B157A2" w:rsidP="00B157A2">
      <w:pPr>
        <w:pStyle w:val="bodytext"/>
        <w:rPr>
          <w:sz w:val="24"/>
          <w:szCs w:val="24"/>
        </w:rPr>
      </w:pPr>
      <w:r w:rsidRPr="00B22673">
        <w:rPr>
          <w:sz w:val="24"/>
          <w:szCs w:val="24"/>
        </w:rPr>
        <w:t xml:space="preserve">Противоэпидемический режим работы лаборатории должен </w:t>
      </w:r>
      <w:r w:rsidRPr="00B22673">
        <w:rPr>
          <w:spacing w:val="-4"/>
          <w:sz w:val="24"/>
          <w:szCs w:val="24"/>
        </w:rPr>
        <w:t>быть обеспечен в соответс</w:t>
      </w:r>
      <w:r w:rsidRPr="00B22673">
        <w:rPr>
          <w:spacing w:val="-4"/>
          <w:sz w:val="24"/>
          <w:szCs w:val="24"/>
        </w:rPr>
        <w:t>т</w:t>
      </w:r>
      <w:r w:rsidRPr="00B22673">
        <w:rPr>
          <w:spacing w:val="-4"/>
          <w:sz w:val="24"/>
          <w:szCs w:val="24"/>
        </w:rPr>
        <w:t>вии с СП 1.3.1285—03 и (или) СП 1.3.2322—08</w:t>
      </w:r>
      <w:r w:rsidRPr="00B22673">
        <w:rPr>
          <w:sz w:val="24"/>
          <w:szCs w:val="24"/>
        </w:rPr>
        <w:t xml:space="preserve">, регламентирующими работу с микроорганизмами I—II и </w:t>
      </w:r>
      <w:r w:rsidRPr="00B22673">
        <w:rPr>
          <w:sz w:val="24"/>
          <w:szCs w:val="24"/>
          <w:lang w:val="en-US"/>
        </w:rPr>
        <w:t>III</w:t>
      </w:r>
      <w:r w:rsidRPr="00B22673">
        <w:rPr>
          <w:sz w:val="24"/>
          <w:szCs w:val="24"/>
        </w:rPr>
        <w:t>—</w:t>
      </w:r>
      <w:r w:rsidRPr="00B22673">
        <w:rPr>
          <w:sz w:val="24"/>
          <w:szCs w:val="24"/>
          <w:lang w:val="en-US"/>
        </w:rPr>
        <w:t>IV</w:t>
      </w:r>
      <w:r w:rsidRPr="00B22673">
        <w:rPr>
          <w:sz w:val="24"/>
          <w:szCs w:val="24"/>
        </w:rPr>
        <w:t xml:space="preserve"> групп патогенности соответстве</w:t>
      </w:r>
      <w:r w:rsidRPr="00B22673">
        <w:rPr>
          <w:sz w:val="24"/>
          <w:szCs w:val="24"/>
        </w:rPr>
        <w:t>н</w:t>
      </w:r>
      <w:r w:rsidRPr="00B22673">
        <w:rPr>
          <w:sz w:val="24"/>
          <w:szCs w:val="24"/>
        </w:rPr>
        <w:t>но.</w:t>
      </w:r>
    </w:p>
    <w:p w:rsidR="00B157A2" w:rsidRPr="00B22673" w:rsidRDefault="00B157A2" w:rsidP="00B157A2">
      <w:pPr>
        <w:pStyle w:val="bodytext"/>
        <w:rPr>
          <w:sz w:val="24"/>
          <w:szCs w:val="24"/>
        </w:rPr>
      </w:pPr>
      <w:r w:rsidRPr="00B22673">
        <w:rPr>
          <w:sz w:val="24"/>
          <w:szCs w:val="24"/>
        </w:rPr>
        <w:t>Допускается проведение исследований биологического матер</w:t>
      </w:r>
      <w:r w:rsidRPr="00B22673">
        <w:rPr>
          <w:sz w:val="24"/>
          <w:szCs w:val="24"/>
        </w:rPr>
        <w:t>и</w:t>
      </w:r>
      <w:r w:rsidRPr="00B22673">
        <w:rPr>
          <w:sz w:val="24"/>
          <w:szCs w:val="24"/>
        </w:rPr>
        <w:t>ала (без предварительного накопления возбудителя) на наличие ДНК (РНК) возбудителей бруцеллеза, парентеральных вирусных гепатитов, ВИЧ-инфекции в лабор</w:t>
      </w:r>
      <w:r w:rsidRPr="00B22673">
        <w:rPr>
          <w:sz w:val="24"/>
          <w:szCs w:val="24"/>
        </w:rPr>
        <w:t>а</w:t>
      </w:r>
      <w:r w:rsidRPr="00B22673">
        <w:rPr>
          <w:sz w:val="24"/>
          <w:szCs w:val="24"/>
        </w:rPr>
        <w:t>тории, имеющей санитарно-эпидемиологичес</w:t>
      </w:r>
      <w:r w:rsidRPr="00B22673">
        <w:rPr>
          <w:sz w:val="24"/>
          <w:szCs w:val="24"/>
        </w:rPr>
        <w:softHyphen/>
        <w:t>кое заключение о возможности проведения работ с возбудителями III—</w:t>
      </w:r>
      <w:r w:rsidRPr="00B22673">
        <w:rPr>
          <w:sz w:val="24"/>
          <w:szCs w:val="24"/>
          <w:lang w:val="en-US"/>
        </w:rPr>
        <w:t>IV</w:t>
      </w:r>
      <w:r w:rsidRPr="00B22673">
        <w:rPr>
          <w:sz w:val="24"/>
          <w:szCs w:val="24"/>
        </w:rPr>
        <w:t> групп патогенности (с указанием конкретных видов микроорганизмов), выданное в установленном поря</w:t>
      </w:r>
      <w:r w:rsidRPr="00B22673">
        <w:rPr>
          <w:sz w:val="24"/>
          <w:szCs w:val="24"/>
        </w:rPr>
        <w:t>д</w:t>
      </w:r>
      <w:r w:rsidRPr="00B22673">
        <w:rPr>
          <w:sz w:val="24"/>
          <w:szCs w:val="24"/>
        </w:rPr>
        <w:t xml:space="preserve">ке. </w:t>
      </w:r>
    </w:p>
    <w:p w:rsidR="00B157A2" w:rsidRPr="00B22673" w:rsidRDefault="00B157A2" w:rsidP="00B157A2">
      <w:pPr>
        <w:pStyle w:val="bodytext"/>
        <w:rPr>
          <w:sz w:val="24"/>
          <w:szCs w:val="24"/>
        </w:rPr>
      </w:pPr>
      <w:r w:rsidRPr="00B22673">
        <w:rPr>
          <w:spacing w:val="2"/>
          <w:sz w:val="24"/>
          <w:szCs w:val="24"/>
        </w:rPr>
        <w:t>В лаборатории, имеющей санитарно-эпидемиологическое заключение о возможности проведения работ с возбудителями III</w:t>
      </w:r>
      <w:r w:rsidRPr="00B22673">
        <w:rPr>
          <w:sz w:val="24"/>
          <w:szCs w:val="24"/>
        </w:rPr>
        <w:t>—</w:t>
      </w:r>
      <w:r w:rsidRPr="00B22673">
        <w:rPr>
          <w:sz w:val="24"/>
          <w:szCs w:val="24"/>
          <w:lang w:val="en-US"/>
        </w:rPr>
        <w:t>IV</w:t>
      </w:r>
      <w:r w:rsidRPr="00B22673">
        <w:rPr>
          <w:sz w:val="24"/>
          <w:szCs w:val="24"/>
        </w:rPr>
        <w:t> групп патогенности, допускается исследование биологического мат</w:t>
      </w:r>
      <w:r w:rsidRPr="00B22673">
        <w:rPr>
          <w:sz w:val="24"/>
          <w:szCs w:val="24"/>
        </w:rPr>
        <w:t>е</w:t>
      </w:r>
      <w:r w:rsidRPr="00B22673">
        <w:rPr>
          <w:sz w:val="24"/>
          <w:szCs w:val="24"/>
        </w:rPr>
        <w:t xml:space="preserve">риала, подозрительного на </w:t>
      </w:r>
      <w:r w:rsidRPr="00B22673">
        <w:rPr>
          <w:sz w:val="24"/>
          <w:szCs w:val="24"/>
        </w:rPr>
        <w:lastRenderedPageBreak/>
        <w:t xml:space="preserve">инфицирование микроорганизмами </w:t>
      </w:r>
      <w:r w:rsidRPr="00B22673">
        <w:rPr>
          <w:sz w:val="24"/>
          <w:szCs w:val="24"/>
          <w:lang w:val="en-US"/>
        </w:rPr>
        <w:t>II</w:t>
      </w:r>
      <w:r w:rsidRPr="00B22673">
        <w:rPr>
          <w:sz w:val="24"/>
          <w:szCs w:val="24"/>
        </w:rPr>
        <w:t xml:space="preserve"> гру</w:t>
      </w:r>
      <w:r w:rsidRPr="00B22673">
        <w:rPr>
          <w:sz w:val="24"/>
          <w:szCs w:val="24"/>
        </w:rPr>
        <w:t>п</w:t>
      </w:r>
      <w:r w:rsidRPr="00B22673">
        <w:rPr>
          <w:sz w:val="24"/>
          <w:szCs w:val="24"/>
        </w:rPr>
        <w:t>пы патогенности только в тех случаях, для которых разработаны и утве</w:t>
      </w:r>
      <w:r w:rsidRPr="00B22673">
        <w:rPr>
          <w:sz w:val="24"/>
          <w:szCs w:val="24"/>
        </w:rPr>
        <w:t>р</w:t>
      </w:r>
      <w:r w:rsidRPr="00B22673">
        <w:rPr>
          <w:sz w:val="24"/>
          <w:szCs w:val="24"/>
        </w:rPr>
        <w:t>ждены нормативные документы, регламентирующие порядок проведения таких исследований в условиях данной л</w:t>
      </w:r>
      <w:r w:rsidRPr="00B22673">
        <w:rPr>
          <w:sz w:val="24"/>
          <w:szCs w:val="24"/>
        </w:rPr>
        <w:t>а</w:t>
      </w:r>
      <w:r w:rsidRPr="00B22673">
        <w:rPr>
          <w:sz w:val="24"/>
          <w:szCs w:val="24"/>
        </w:rPr>
        <w:t>боратории.</w:t>
      </w:r>
    </w:p>
    <w:p w:rsidR="00B157A2" w:rsidRPr="00B22673" w:rsidRDefault="00B157A2" w:rsidP="00B22673">
      <w:pPr>
        <w:snapToGrid w:val="0"/>
        <w:spacing w:after="0" w:line="240" w:lineRule="auto"/>
        <w:ind w:left="26" w:firstLineChars="400" w:firstLine="960"/>
        <w:rPr>
          <w:rFonts w:ascii="Times New Roman" w:hAnsi="Times New Roman"/>
        </w:rPr>
      </w:pPr>
    </w:p>
    <w:p w:rsidR="00B22673" w:rsidRPr="00B22673" w:rsidRDefault="00B22673" w:rsidP="00B226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B22673">
        <w:rPr>
          <w:rFonts w:ascii="Times New Roman" w:hAnsi="Times New Roman"/>
          <w:b/>
        </w:rPr>
        <w:t xml:space="preserve">Комплексное оснащение ПЦР – лаборатории. </w:t>
      </w:r>
    </w:p>
    <w:p w:rsid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 строительстве новых или реконструкции имеющихся </w:t>
      </w:r>
      <w:proofErr w:type="spellStart"/>
      <w:proofErr w:type="gramStart"/>
      <w:r w:rsidRPr="00B22673">
        <w:rPr>
          <w:rFonts w:ascii="Times New Roman" w:hAnsi="Times New Roman"/>
        </w:rPr>
        <w:t>по-мещений</w:t>
      </w:r>
      <w:proofErr w:type="spellEnd"/>
      <w:proofErr w:type="gramEnd"/>
      <w:r w:rsidRPr="00B22673">
        <w:rPr>
          <w:rFonts w:ascii="Times New Roman" w:hAnsi="Times New Roman"/>
        </w:rPr>
        <w:t xml:space="preserve"> лабораторию размещают в отдельно стоящем здании (</w:t>
      </w:r>
      <w:proofErr w:type="spellStart"/>
      <w:r w:rsidRPr="00B22673">
        <w:rPr>
          <w:rFonts w:ascii="Times New Roman" w:hAnsi="Times New Roman"/>
        </w:rPr>
        <w:t>изоли-рованной</w:t>
      </w:r>
      <w:proofErr w:type="spellEnd"/>
      <w:r w:rsidRPr="00B22673">
        <w:rPr>
          <w:rFonts w:ascii="Times New Roman" w:hAnsi="Times New Roman"/>
        </w:rPr>
        <w:t xml:space="preserve"> части здания, э</w:t>
      </w:r>
      <w:r>
        <w:rPr>
          <w:rFonts w:ascii="Times New Roman" w:hAnsi="Times New Roman"/>
        </w:rPr>
        <w:t xml:space="preserve">тажа) с соблюдением требований </w:t>
      </w:r>
      <w:r w:rsidRPr="00B22673">
        <w:rPr>
          <w:rFonts w:ascii="Times New Roman" w:hAnsi="Times New Roman"/>
        </w:rPr>
        <w:t>СП 1.3.</w:t>
      </w:r>
      <w:r>
        <w:rPr>
          <w:rFonts w:ascii="Times New Roman" w:hAnsi="Times New Roman"/>
        </w:rPr>
        <w:t>1285—03 и (или) СП 1.3.2322—08.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 отсутствии возможности размещения помещений </w:t>
      </w:r>
      <w:proofErr w:type="spellStart"/>
      <w:proofErr w:type="gramStart"/>
      <w:r w:rsidRPr="00B22673">
        <w:rPr>
          <w:rFonts w:ascii="Times New Roman" w:hAnsi="Times New Roman"/>
        </w:rPr>
        <w:t>лабора</w:t>
      </w:r>
      <w:proofErr w:type="spellEnd"/>
      <w:r w:rsidRPr="00B22673">
        <w:rPr>
          <w:rFonts w:ascii="Times New Roman" w:hAnsi="Times New Roman"/>
        </w:rPr>
        <w:t>-тории</w:t>
      </w:r>
      <w:proofErr w:type="gramEnd"/>
      <w:r w:rsidRPr="00B22673">
        <w:rPr>
          <w:rFonts w:ascii="Times New Roman" w:hAnsi="Times New Roman"/>
        </w:rPr>
        <w:t xml:space="preserve"> в виде отдельного блока допускается проведение исследований поступающего материала на базе действующей лаборатории (микробиологической, вирусологической, иммунологической и т. д.) при условии организации в ней самостоятельных или выделенных в составе других функциональных помещений рабочих зон, соответствующих этапам проведения  анализа, поточности движения персонала и материалов.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Помещения лаборатории должны быть </w:t>
      </w:r>
      <w:proofErr w:type="spellStart"/>
      <w:r w:rsidRPr="00B22673">
        <w:rPr>
          <w:rFonts w:ascii="Times New Roman" w:hAnsi="Times New Roman"/>
        </w:rPr>
        <w:t>боксированными</w:t>
      </w:r>
      <w:proofErr w:type="spellEnd"/>
      <w:r w:rsidRPr="00B22673">
        <w:rPr>
          <w:rFonts w:ascii="Times New Roman" w:hAnsi="Times New Roman"/>
        </w:rPr>
        <w:t xml:space="preserve"> (боксы с </w:t>
      </w:r>
      <w:proofErr w:type="spellStart"/>
      <w:r w:rsidRPr="00B22673">
        <w:rPr>
          <w:rFonts w:ascii="Times New Roman" w:hAnsi="Times New Roman"/>
        </w:rPr>
        <w:t>предбоксами</w:t>
      </w:r>
      <w:proofErr w:type="spellEnd"/>
      <w:r w:rsidRPr="00B22673">
        <w:rPr>
          <w:rFonts w:ascii="Times New Roman" w:hAnsi="Times New Roman"/>
        </w:rPr>
        <w:t>), соответствующим образом промаркированы (нумерация или название рабочих зон) и оборудованы приточно-вытяжной вентиляцией, водопроводом, канализацией, электричеством и отоплением, средствами пожаротушения, естественным и искусственным освещением и быть непроницаемыми для грызунов и насекомых.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Внутреннюю отделку помещений осуществляют кафелем (пол, стены) или краской (стены, потолок), устойчивой к действию моющих и дезинфицирующих средств, поверхности стен, пола и потолка в </w:t>
      </w:r>
      <w:proofErr w:type="spellStart"/>
      <w:proofErr w:type="gramStart"/>
      <w:r w:rsidRPr="00B22673">
        <w:rPr>
          <w:rFonts w:ascii="Times New Roman" w:hAnsi="Times New Roman"/>
        </w:rPr>
        <w:t>лабора</w:t>
      </w:r>
      <w:proofErr w:type="spellEnd"/>
      <w:r w:rsidRPr="00B22673">
        <w:rPr>
          <w:rFonts w:ascii="Times New Roman" w:hAnsi="Times New Roman"/>
        </w:rPr>
        <w:t>-торных</w:t>
      </w:r>
      <w:proofErr w:type="gramEnd"/>
      <w:r w:rsidRPr="00B22673">
        <w:rPr>
          <w:rFonts w:ascii="Times New Roman" w:hAnsi="Times New Roman"/>
        </w:rPr>
        <w:t xml:space="preserve"> помещениях должны быть гладкими, без щелей, легко </w:t>
      </w:r>
      <w:proofErr w:type="spellStart"/>
      <w:r w:rsidRPr="00B22673">
        <w:rPr>
          <w:rFonts w:ascii="Times New Roman" w:hAnsi="Times New Roman"/>
        </w:rPr>
        <w:t>обраба-тываемыми</w:t>
      </w:r>
      <w:proofErr w:type="spellEnd"/>
      <w:r w:rsidRPr="00B22673">
        <w:rPr>
          <w:rFonts w:ascii="Times New Roman" w:hAnsi="Times New Roman"/>
        </w:rPr>
        <w:t xml:space="preserve">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помещениях рабочих зон должны быть установлены </w:t>
      </w:r>
      <w:proofErr w:type="spellStart"/>
      <w:proofErr w:type="gramStart"/>
      <w:r w:rsidRPr="00B22673">
        <w:rPr>
          <w:rFonts w:ascii="Times New Roman" w:hAnsi="Times New Roman"/>
        </w:rPr>
        <w:t>бакте-рицидные</w:t>
      </w:r>
      <w:proofErr w:type="spellEnd"/>
      <w:proofErr w:type="gramEnd"/>
      <w:r w:rsidRPr="00B22673">
        <w:rPr>
          <w:rFonts w:ascii="Times New Roman" w:hAnsi="Times New Roman"/>
        </w:rPr>
        <w:t xml:space="preserve"> лампы. Расчет режима работы бактерицидных ламп проводят в соответствии с </w:t>
      </w:r>
      <w:proofErr w:type="gramStart"/>
      <w:r w:rsidRPr="00B22673">
        <w:rPr>
          <w:rFonts w:ascii="Times New Roman" w:hAnsi="Times New Roman"/>
        </w:rPr>
        <w:t>Р</w:t>
      </w:r>
      <w:proofErr w:type="gramEnd"/>
      <w:r w:rsidRPr="00B22673">
        <w:rPr>
          <w:rFonts w:ascii="Times New Roman" w:hAnsi="Times New Roman"/>
        </w:rPr>
        <w:t xml:space="preserve"> 3.5.1904—04 «Использование ультрафиолетового бактерицидного излучения для обеззараживания воздуха в </w:t>
      </w:r>
      <w:proofErr w:type="spellStart"/>
      <w:r w:rsidRPr="00B22673">
        <w:rPr>
          <w:rFonts w:ascii="Times New Roman" w:hAnsi="Times New Roman"/>
        </w:rPr>
        <w:t>помеще-ниях</w:t>
      </w:r>
      <w:proofErr w:type="spellEnd"/>
      <w:r w:rsidRPr="00B22673">
        <w:rPr>
          <w:rFonts w:ascii="Times New Roman" w:hAnsi="Times New Roman"/>
        </w:rPr>
        <w:t>».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Окна должны быть плотно закрыты, </w:t>
      </w:r>
      <w:proofErr w:type="gramStart"/>
      <w:r w:rsidRPr="00B22673">
        <w:rPr>
          <w:rFonts w:ascii="Times New Roman" w:hAnsi="Times New Roman"/>
        </w:rPr>
        <w:t>возможно</w:t>
      </w:r>
      <w:proofErr w:type="gramEnd"/>
      <w:r w:rsidRPr="00B22673">
        <w:rPr>
          <w:rFonts w:ascii="Times New Roman" w:hAnsi="Times New Roman"/>
        </w:rPr>
        <w:t xml:space="preserve"> использование светозащитных пленок из материала, устойчивого к действию </w:t>
      </w:r>
      <w:proofErr w:type="spellStart"/>
      <w:r w:rsidRPr="00B22673">
        <w:rPr>
          <w:rFonts w:ascii="Times New Roman" w:hAnsi="Times New Roman"/>
        </w:rPr>
        <w:t>использу-емых</w:t>
      </w:r>
      <w:proofErr w:type="spellEnd"/>
      <w:r w:rsidRPr="00B22673">
        <w:rPr>
          <w:rFonts w:ascii="Times New Roman" w:hAnsi="Times New Roman"/>
        </w:rPr>
        <w:t xml:space="preserve"> дезинфицирующих средств. Использование жалюзи (из-за </w:t>
      </w:r>
      <w:proofErr w:type="spellStart"/>
      <w:proofErr w:type="gramStart"/>
      <w:r w:rsidRPr="00B22673">
        <w:rPr>
          <w:rFonts w:ascii="Times New Roman" w:hAnsi="Times New Roman"/>
        </w:rPr>
        <w:t>адсорб-ции</w:t>
      </w:r>
      <w:proofErr w:type="spellEnd"/>
      <w:proofErr w:type="gramEnd"/>
      <w:r w:rsidRPr="00B22673">
        <w:rPr>
          <w:rFonts w:ascii="Times New Roman" w:hAnsi="Times New Roman"/>
        </w:rPr>
        <w:t xml:space="preserve"> ими пыли) запрещено.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Архитектурно-планировочные решения и размещение </w:t>
      </w:r>
      <w:proofErr w:type="gramStart"/>
      <w:r w:rsidRPr="00B22673">
        <w:rPr>
          <w:rFonts w:ascii="Times New Roman" w:hAnsi="Times New Roman"/>
        </w:rPr>
        <w:t>обору-</w:t>
      </w:r>
      <w:proofErr w:type="spellStart"/>
      <w:r w:rsidRPr="00B22673">
        <w:rPr>
          <w:rFonts w:ascii="Times New Roman" w:hAnsi="Times New Roman"/>
        </w:rPr>
        <w:t>дования</w:t>
      </w:r>
      <w:proofErr w:type="spellEnd"/>
      <w:proofErr w:type="gramEnd"/>
      <w:r w:rsidRPr="00B22673">
        <w:rPr>
          <w:rFonts w:ascii="Times New Roman" w:hAnsi="Times New Roman"/>
        </w:rPr>
        <w:t xml:space="preserve"> должны обеспечивать поточность движения исследуемого </w:t>
      </w:r>
      <w:proofErr w:type="spellStart"/>
      <w:r w:rsidRPr="00B22673">
        <w:rPr>
          <w:rFonts w:ascii="Times New Roman" w:hAnsi="Times New Roman"/>
        </w:rPr>
        <w:t>ма-териала</w:t>
      </w:r>
      <w:proofErr w:type="spellEnd"/>
      <w:r w:rsidRPr="00B22673">
        <w:rPr>
          <w:rFonts w:ascii="Times New Roman" w:hAnsi="Times New Roman"/>
        </w:rPr>
        <w:t>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Лаборатория в соответствии с этапами проведения анализа должна включать следующий набор последовательно расположенных самостоятельных рабочих </w:t>
      </w:r>
      <w:r w:rsidRPr="00B22673">
        <w:rPr>
          <w:rFonts w:ascii="Times New Roman" w:hAnsi="Times New Roman"/>
        </w:rPr>
        <w:lastRenderedPageBreak/>
        <w:t>зон (помещений) или отдельно выделенных рабочих зон в составе других функциональных помещений, количество которых определяется используемыми МАНК (прилож. 1):</w:t>
      </w:r>
    </w:p>
    <w:p w:rsidR="00B22673" w:rsidRPr="00B22673" w:rsidRDefault="00B22673" w:rsidP="00B22673">
      <w:pPr>
        <w:pStyle w:val="a3"/>
        <w:numPr>
          <w:ilvl w:val="0"/>
          <w:numId w:val="5"/>
        </w:numPr>
        <w:spacing w:after="0"/>
      </w:pPr>
      <w:r w:rsidRPr="00B22673">
        <w:t>приема, регистрации, разбора и первичной обработки материала (рабочая зона 1);</w:t>
      </w:r>
    </w:p>
    <w:p w:rsidR="00B22673" w:rsidRPr="00B22673" w:rsidRDefault="00B22673" w:rsidP="00B22673">
      <w:pPr>
        <w:pStyle w:val="a3"/>
        <w:numPr>
          <w:ilvl w:val="0"/>
          <w:numId w:val="5"/>
        </w:numPr>
        <w:spacing w:after="0"/>
      </w:pPr>
      <w:r w:rsidRPr="00B22673">
        <w:t>выделения нуклеиновых кислот (рабочая зона 2);</w:t>
      </w:r>
    </w:p>
    <w:p w:rsidR="00B22673" w:rsidRPr="00B22673" w:rsidRDefault="00B22673" w:rsidP="00B22673">
      <w:pPr>
        <w:pStyle w:val="a3"/>
        <w:numPr>
          <w:ilvl w:val="0"/>
          <w:numId w:val="5"/>
        </w:numPr>
        <w:spacing w:after="0"/>
      </w:pPr>
      <w:r w:rsidRPr="00B22673">
        <w:t xml:space="preserve">проведения реакции амплификации и учета ее результатов при использовании </w:t>
      </w:r>
      <w:proofErr w:type="spellStart"/>
      <w:r w:rsidRPr="00B22673">
        <w:t>гибридизационно</w:t>
      </w:r>
      <w:proofErr w:type="spellEnd"/>
      <w:r w:rsidRPr="00B22673">
        <w:t xml:space="preserve">-флуоресцентного метода </w:t>
      </w:r>
      <w:proofErr w:type="spellStart"/>
      <w:r w:rsidRPr="00B22673">
        <w:t>детекции</w:t>
      </w:r>
      <w:proofErr w:type="spellEnd"/>
      <w:r w:rsidRPr="00B22673">
        <w:t xml:space="preserve"> (рабочая зона 3);</w:t>
      </w:r>
    </w:p>
    <w:p w:rsidR="00B22673" w:rsidRPr="00B22673" w:rsidRDefault="00B22673" w:rsidP="00B22673">
      <w:pPr>
        <w:pStyle w:val="a3"/>
        <w:numPr>
          <w:ilvl w:val="0"/>
          <w:numId w:val="5"/>
        </w:numPr>
        <w:spacing w:after="0"/>
      </w:pPr>
      <w:r w:rsidRPr="00B22673">
        <w:t xml:space="preserve">учета результатов реакции амплификации нуклеиновых кислот методом электрофореза и (или) </w:t>
      </w:r>
      <w:proofErr w:type="spellStart"/>
      <w:r w:rsidRPr="00B22673">
        <w:t>гибридизационно</w:t>
      </w:r>
      <w:proofErr w:type="spellEnd"/>
      <w:r w:rsidRPr="00B22673">
        <w:t xml:space="preserve">-ферментным методом </w:t>
      </w:r>
      <w:proofErr w:type="spellStart"/>
      <w:r w:rsidRPr="00B22673">
        <w:t>детекции</w:t>
      </w:r>
      <w:proofErr w:type="spellEnd"/>
      <w:r w:rsidRPr="00B22673">
        <w:t xml:space="preserve"> (рабочая зона 4-1);</w:t>
      </w:r>
    </w:p>
    <w:p w:rsidR="00B22673" w:rsidRPr="00B22673" w:rsidRDefault="00B22673" w:rsidP="00B22673">
      <w:pPr>
        <w:pStyle w:val="a3"/>
        <w:numPr>
          <w:ilvl w:val="0"/>
          <w:numId w:val="5"/>
        </w:numPr>
        <w:spacing w:after="0"/>
      </w:pPr>
      <w:r w:rsidRPr="00B22673">
        <w:t>учета результатов (</w:t>
      </w:r>
      <w:proofErr w:type="spellStart"/>
      <w:r w:rsidRPr="00B22673">
        <w:t>детекции</w:t>
      </w:r>
      <w:proofErr w:type="spellEnd"/>
      <w:r w:rsidRPr="00B22673">
        <w:t xml:space="preserve">) продуктов амплификации </w:t>
      </w:r>
      <w:proofErr w:type="spellStart"/>
      <w:proofErr w:type="gramStart"/>
      <w:r w:rsidRPr="00B22673">
        <w:t>нуклеи</w:t>
      </w:r>
      <w:proofErr w:type="spellEnd"/>
      <w:r w:rsidRPr="00B22673">
        <w:t>-новых</w:t>
      </w:r>
      <w:proofErr w:type="gramEnd"/>
      <w:r w:rsidRPr="00B22673">
        <w:t xml:space="preserve"> кислот методом </w:t>
      </w:r>
      <w:r w:rsidRPr="00B22673">
        <w:t>секвенирования и (или) на ДНК-чипах (рабочая зона 4-2).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В состав лаборатории могут быть включены вспомогательные помещения (комнаты персонала, кабинет заведующего лабораторией, раздевалки для сотрудников, комната приема пищи, туалет, подсобные (складские) помещения), которые должны быть вынесены за пределы рабочей зоны.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Вспомогательные помещения должны располагаться </w:t>
      </w:r>
      <w:proofErr w:type="spellStart"/>
      <w:proofErr w:type="gramStart"/>
      <w:r w:rsidRPr="00B22673">
        <w:rPr>
          <w:rFonts w:ascii="Times New Roman" w:hAnsi="Times New Roman"/>
        </w:rPr>
        <w:t>отдель</w:t>
      </w:r>
      <w:proofErr w:type="spellEnd"/>
      <w:r w:rsidRPr="00B22673">
        <w:rPr>
          <w:rFonts w:ascii="Times New Roman" w:hAnsi="Times New Roman"/>
        </w:rPr>
        <w:t>-но</w:t>
      </w:r>
      <w:proofErr w:type="gramEnd"/>
      <w:r w:rsidRPr="00B22673">
        <w:rPr>
          <w:rFonts w:ascii="Times New Roman" w:hAnsi="Times New Roman"/>
        </w:rPr>
        <w:t xml:space="preserve"> от рабочих зон (помещений) в соответствии с действующими сани-тарными правилами, регламентирующими обеспечение безопасности работ с микроорганизмами I—IV групп патогенности.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Необходимо предусмотреть наличие автоклавной комнаты для обеззараживания исследуемого материала, которая может быть общей с другими подразделениями учреждения при условии соблюдения требований биологической безопасности.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рабочей зоне 1 осуществляют прием материала, его </w:t>
      </w:r>
      <w:proofErr w:type="gramStart"/>
      <w:r w:rsidRPr="00B22673">
        <w:rPr>
          <w:rFonts w:ascii="Times New Roman" w:hAnsi="Times New Roman"/>
        </w:rPr>
        <w:t>марки-</w:t>
      </w:r>
      <w:proofErr w:type="spellStart"/>
      <w:r w:rsidRPr="00B22673">
        <w:rPr>
          <w:rFonts w:ascii="Times New Roman" w:hAnsi="Times New Roman"/>
        </w:rPr>
        <w:t>ровку</w:t>
      </w:r>
      <w:proofErr w:type="spellEnd"/>
      <w:proofErr w:type="gramEnd"/>
      <w:r w:rsidRPr="00B22673">
        <w:rPr>
          <w:rFonts w:ascii="Times New Roman" w:hAnsi="Times New Roman"/>
        </w:rPr>
        <w:t xml:space="preserve">, регистрацию в специальном журнале, первичную подготовку (концентрирование материала путем центрифугирования, фильтрации,  </w:t>
      </w:r>
      <w:proofErr w:type="spellStart"/>
      <w:r w:rsidRPr="00B22673">
        <w:rPr>
          <w:rFonts w:ascii="Times New Roman" w:hAnsi="Times New Roman"/>
        </w:rPr>
        <w:t>иммуносорбции</w:t>
      </w:r>
      <w:proofErr w:type="spellEnd"/>
      <w:r w:rsidRPr="00B22673">
        <w:rPr>
          <w:rFonts w:ascii="Times New Roman" w:hAnsi="Times New Roman"/>
        </w:rPr>
        <w:t xml:space="preserve">, </w:t>
      </w:r>
      <w:proofErr w:type="spellStart"/>
      <w:r w:rsidRPr="00B22673">
        <w:rPr>
          <w:rFonts w:ascii="Times New Roman" w:hAnsi="Times New Roman"/>
        </w:rPr>
        <w:t>суспендирование</w:t>
      </w:r>
      <w:proofErr w:type="spellEnd"/>
      <w:r w:rsidRPr="00B22673">
        <w:rPr>
          <w:rFonts w:ascii="Times New Roman" w:hAnsi="Times New Roman"/>
        </w:rPr>
        <w:t xml:space="preserve">, перевод сухих и плотных материалов в жидкую фазу и т. д.), объединение или разделение проб на </w:t>
      </w:r>
      <w:proofErr w:type="spellStart"/>
      <w:r w:rsidRPr="00B22673">
        <w:rPr>
          <w:rFonts w:ascii="Times New Roman" w:hAnsi="Times New Roman"/>
        </w:rPr>
        <w:t>аликвоты</w:t>
      </w:r>
      <w:proofErr w:type="spellEnd"/>
      <w:r w:rsidRPr="00B22673">
        <w:rPr>
          <w:rFonts w:ascii="Times New Roman" w:hAnsi="Times New Roman"/>
        </w:rPr>
        <w:t>, обеззараживание и хранение проб, обеззараживание остатков исследуемого материала.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Допускается проведение в рабочей зоне 1 приема, </w:t>
      </w:r>
      <w:proofErr w:type="gramStart"/>
      <w:r w:rsidRPr="00B22673">
        <w:rPr>
          <w:rFonts w:ascii="Times New Roman" w:hAnsi="Times New Roman"/>
        </w:rPr>
        <w:t>регистра-</w:t>
      </w:r>
      <w:proofErr w:type="spellStart"/>
      <w:r w:rsidRPr="00B22673">
        <w:rPr>
          <w:rFonts w:ascii="Times New Roman" w:hAnsi="Times New Roman"/>
        </w:rPr>
        <w:t>ции</w:t>
      </w:r>
      <w:proofErr w:type="spellEnd"/>
      <w:proofErr w:type="gramEnd"/>
      <w:r w:rsidRPr="00B22673">
        <w:rPr>
          <w:rFonts w:ascii="Times New Roman" w:hAnsi="Times New Roman"/>
        </w:rPr>
        <w:t>, разбора и первичной обработки материала, исследуемого другими методами диагностики (бактериологическими, вирусологическими, им-</w:t>
      </w:r>
      <w:proofErr w:type="spellStart"/>
      <w:r w:rsidRPr="00B22673">
        <w:rPr>
          <w:rFonts w:ascii="Times New Roman" w:hAnsi="Times New Roman"/>
        </w:rPr>
        <w:t>мунологическими</w:t>
      </w:r>
      <w:proofErr w:type="spellEnd"/>
      <w:r w:rsidRPr="00B22673">
        <w:rPr>
          <w:rFonts w:ascii="Times New Roman" w:hAnsi="Times New Roman"/>
        </w:rPr>
        <w:t xml:space="preserve"> и т. д.).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 работе с микроорганизмами I—II групп патогенности допускается  размещение рабочей зоны 1 в помещениях блока для </w:t>
      </w:r>
      <w:proofErr w:type="spellStart"/>
      <w:proofErr w:type="gramStart"/>
      <w:r w:rsidRPr="00B22673">
        <w:rPr>
          <w:rFonts w:ascii="Times New Roman" w:hAnsi="Times New Roman"/>
        </w:rPr>
        <w:t>рабо</w:t>
      </w:r>
      <w:proofErr w:type="spellEnd"/>
      <w:r w:rsidRPr="00B22673">
        <w:rPr>
          <w:rFonts w:ascii="Times New Roman" w:hAnsi="Times New Roman"/>
        </w:rPr>
        <w:t>-ты</w:t>
      </w:r>
      <w:proofErr w:type="gramEnd"/>
      <w:r w:rsidRPr="00B22673">
        <w:rPr>
          <w:rFonts w:ascii="Times New Roman" w:hAnsi="Times New Roman"/>
        </w:rPr>
        <w:t xml:space="preserve"> с инфицированными животными.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lastRenderedPageBreak/>
        <w:t>В рабочей зоне 2 проводят выделение и очистку нуклеиновых кислот микроорганизмов из проб, подготовленных в рабочей зоне 1.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рабочей зоне 3 осуществляют приготовление реакционных смесей, проведение обратной транскрипции, амплификации </w:t>
      </w:r>
      <w:proofErr w:type="spellStart"/>
      <w:proofErr w:type="gramStart"/>
      <w:r w:rsidRPr="00B22673">
        <w:rPr>
          <w:rFonts w:ascii="Times New Roman" w:hAnsi="Times New Roman"/>
        </w:rPr>
        <w:t>нуклеино-вых</w:t>
      </w:r>
      <w:proofErr w:type="spellEnd"/>
      <w:proofErr w:type="gramEnd"/>
      <w:r w:rsidRPr="00B22673">
        <w:rPr>
          <w:rFonts w:ascii="Times New Roman" w:hAnsi="Times New Roman"/>
        </w:rPr>
        <w:t xml:space="preserve"> кислот и учет результатов амплификации при использовании </w:t>
      </w:r>
      <w:proofErr w:type="spellStart"/>
      <w:r w:rsidRPr="00B22673">
        <w:rPr>
          <w:rFonts w:ascii="Times New Roman" w:hAnsi="Times New Roman"/>
        </w:rPr>
        <w:t>ги</w:t>
      </w:r>
      <w:proofErr w:type="spellEnd"/>
      <w:r w:rsidRPr="00B22673">
        <w:rPr>
          <w:rFonts w:ascii="Times New Roman" w:hAnsi="Times New Roman"/>
        </w:rPr>
        <w:t>-</w:t>
      </w:r>
      <w:proofErr w:type="spellStart"/>
      <w:r w:rsidRPr="00B22673">
        <w:rPr>
          <w:rFonts w:ascii="Times New Roman" w:hAnsi="Times New Roman"/>
        </w:rPr>
        <w:t>бридизационно</w:t>
      </w:r>
      <w:proofErr w:type="spellEnd"/>
      <w:r w:rsidRPr="00B22673">
        <w:rPr>
          <w:rFonts w:ascii="Times New Roman" w:hAnsi="Times New Roman"/>
        </w:rPr>
        <w:t xml:space="preserve">-флуоресцентного метода </w:t>
      </w:r>
      <w:proofErr w:type="spellStart"/>
      <w:r w:rsidRPr="00B22673">
        <w:rPr>
          <w:rFonts w:ascii="Times New Roman" w:hAnsi="Times New Roman"/>
        </w:rPr>
        <w:t>детекции</w:t>
      </w:r>
      <w:proofErr w:type="spellEnd"/>
      <w:r w:rsidRPr="00B22673">
        <w:rPr>
          <w:rFonts w:ascii="Times New Roman" w:hAnsi="Times New Roman"/>
        </w:rPr>
        <w:t xml:space="preserve">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Приготовление реакционных смесей для проведения </w:t>
      </w:r>
      <w:proofErr w:type="gramStart"/>
      <w:r w:rsidRPr="00B22673">
        <w:rPr>
          <w:rFonts w:ascii="Times New Roman" w:hAnsi="Times New Roman"/>
        </w:rPr>
        <w:t>обрат-ной</w:t>
      </w:r>
      <w:proofErr w:type="gramEnd"/>
      <w:r w:rsidRPr="00B22673">
        <w:rPr>
          <w:rFonts w:ascii="Times New Roman" w:hAnsi="Times New Roman"/>
        </w:rPr>
        <w:t xml:space="preserve"> транскрипции и амплификации нуклеиновых кислот осуществляют до доставки в рабочую зону 3 проб, подготовленных в рабочей зоне 2.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Рекомендуется разделить  рабочую зону 3 на две </w:t>
      </w:r>
      <w:proofErr w:type="spellStart"/>
      <w:r w:rsidRPr="00B22673">
        <w:rPr>
          <w:rFonts w:ascii="Times New Roman" w:hAnsi="Times New Roman"/>
        </w:rPr>
        <w:t>подзоны</w:t>
      </w:r>
      <w:proofErr w:type="spellEnd"/>
      <w:r w:rsidRPr="00B22673">
        <w:rPr>
          <w:rFonts w:ascii="Times New Roman" w:hAnsi="Times New Roman"/>
        </w:rPr>
        <w:t xml:space="preserve"> (3а и 3б) и разместить их в отдельных помещениях. В </w:t>
      </w:r>
      <w:proofErr w:type="spellStart"/>
      <w:r w:rsidRPr="00B22673">
        <w:rPr>
          <w:rFonts w:ascii="Times New Roman" w:hAnsi="Times New Roman"/>
        </w:rPr>
        <w:t>подзоне</w:t>
      </w:r>
      <w:proofErr w:type="spellEnd"/>
      <w:r w:rsidRPr="00B22673">
        <w:rPr>
          <w:rFonts w:ascii="Times New Roman" w:hAnsi="Times New Roman"/>
        </w:rPr>
        <w:t xml:space="preserve"> 3а </w:t>
      </w:r>
      <w:proofErr w:type="gramStart"/>
      <w:r w:rsidRPr="00B22673">
        <w:rPr>
          <w:rFonts w:ascii="Times New Roman" w:hAnsi="Times New Roman"/>
        </w:rPr>
        <w:t>осу-</w:t>
      </w:r>
      <w:proofErr w:type="spellStart"/>
      <w:r w:rsidRPr="00B22673">
        <w:rPr>
          <w:rFonts w:ascii="Times New Roman" w:hAnsi="Times New Roman"/>
        </w:rPr>
        <w:t>ществляют</w:t>
      </w:r>
      <w:proofErr w:type="spellEnd"/>
      <w:proofErr w:type="gramEnd"/>
      <w:r w:rsidRPr="00B22673">
        <w:rPr>
          <w:rFonts w:ascii="Times New Roman" w:hAnsi="Times New Roman"/>
        </w:rPr>
        <w:t xml:space="preserve"> приготовление реакционных смесей и проведение обратной транскрипции. В </w:t>
      </w:r>
      <w:proofErr w:type="spellStart"/>
      <w:r w:rsidRPr="00B22673">
        <w:rPr>
          <w:rFonts w:ascii="Times New Roman" w:hAnsi="Times New Roman"/>
        </w:rPr>
        <w:t>подзоне</w:t>
      </w:r>
      <w:proofErr w:type="spellEnd"/>
      <w:r w:rsidRPr="00B22673">
        <w:rPr>
          <w:rFonts w:ascii="Times New Roman" w:hAnsi="Times New Roman"/>
        </w:rPr>
        <w:t xml:space="preserve"> 3б проводят амплификацию нуклеиновых </w:t>
      </w:r>
      <w:proofErr w:type="gramStart"/>
      <w:r w:rsidRPr="00B22673">
        <w:rPr>
          <w:rFonts w:ascii="Times New Roman" w:hAnsi="Times New Roman"/>
        </w:rPr>
        <w:t>кис-лот</w:t>
      </w:r>
      <w:proofErr w:type="gramEnd"/>
      <w:r w:rsidRPr="00B22673">
        <w:rPr>
          <w:rFonts w:ascii="Times New Roman" w:hAnsi="Times New Roman"/>
        </w:rPr>
        <w:t xml:space="preserve"> и учет результатов амплификации при использовании </w:t>
      </w:r>
      <w:proofErr w:type="spellStart"/>
      <w:r w:rsidRPr="00B22673">
        <w:rPr>
          <w:rFonts w:ascii="Times New Roman" w:hAnsi="Times New Roman"/>
        </w:rPr>
        <w:t>гибридизаци</w:t>
      </w:r>
      <w:proofErr w:type="spellEnd"/>
      <w:r w:rsidRPr="00B22673">
        <w:rPr>
          <w:rFonts w:ascii="Times New Roman" w:hAnsi="Times New Roman"/>
        </w:rPr>
        <w:t>-</w:t>
      </w:r>
      <w:proofErr w:type="spellStart"/>
      <w:r w:rsidRPr="00B22673">
        <w:rPr>
          <w:rFonts w:ascii="Times New Roman" w:hAnsi="Times New Roman"/>
        </w:rPr>
        <w:t>онно</w:t>
      </w:r>
      <w:proofErr w:type="spellEnd"/>
      <w:r w:rsidRPr="00B22673">
        <w:rPr>
          <w:rFonts w:ascii="Times New Roman" w:hAnsi="Times New Roman"/>
        </w:rPr>
        <w:t xml:space="preserve">-флуоресцентного метода </w:t>
      </w:r>
      <w:proofErr w:type="spellStart"/>
      <w:r w:rsidRPr="00B22673">
        <w:rPr>
          <w:rFonts w:ascii="Times New Roman" w:hAnsi="Times New Roman"/>
        </w:rPr>
        <w:t>детекции</w:t>
      </w:r>
      <w:proofErr w:type="spellEnd"/>
      <w:r w:rsidRPr="00B22673">
        <w:rPr>
          <w:rFonts w:ascii="Times New Roman" w:hAnsi="Times New Roman"/>
        </w:rPr>
        <w:t xml:space="preserve">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 необходимости возможно совмещение рабочей зоны 2 и рабочей зоны 3 в одном помещении при наличии в нем отдельных </w:t>
      </w:r>
      <w:proofErr w:type="gramStart"/>
      <w:r w:rsidRPr="00B22673">
        <w:rPr>
          <w:rFonts w:ascii="Times New Roman" w:hAnsi="Times New Roman"/>
        </w:rPr>
        <w:t>бок-сов</w:t>
      </w:r>
      <w:proofErr w:type="gramEnd"/>
      <w:r w:rsidRPr="00B22673">
        <w:rPr>
          <w:rFonts w:ascii="Times New Roman" w:hAnsi="Times New Roman"/>
        </w:rPr>
        <w:t xml:space="preserve"> биологической безопасности II или III классов для каждой из </w:t>
      </w:r>
      <w:proofErr w:type="spellStart"/>
      <w:r w:rsidRPr="00B22673">
        <w:rPr>
          <w:rFonts w:ascii="Times New Roman" w:hAnsi="Times New Roman"/>
        </w:rPr>
        <w:t>рабо</w:t>
      </w:r>
      <w:proofErr w:type="spellEnd"/>
      <w:r w:rsidRPr="00B22673">
        <w:rPr>
          <w:rFonts w:ascii="Times New Roman" w:hAnsi="Times New Roman"/>
        </w:rPr>
        <w:t>-чих зон.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Рабочие зоны 4-1 и 4-2 располагают изолированно от рабочих зон 1—3 для предотвращения их контаминации продуктами амплификации через воздушный поток.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Рабочая зона 4-1 предназначена для учета результатов </w:t>
      </w:r>
      <w:proofErr w:type="gramStart"/>
      <w:r w:rsidRPr="00B22673">
        <w:rPr>
          <w:rFonts w:ascii="Times New Roman" w:hAnsi="Times New Roman"/>
        </w:rPr>
        <w:t>про-</w:t>
      </w:r>
      <w:proofErr w:type="spellStart"/>
      <w:r w:rsidRPr="00B22673">
        <w:rPr>
          <w:rFonts w:ascii="Times New Roman" w:hAnsi="Times New Roman"/>
        </w:rPr>
        <w:t>дуктов</w:t>
      </w:r>
      <w:proofErr w:type="spellEnd"/>
      <w:proofErr w:type="gramEnd"/>
      <w:r w:rsidRPr="00B22673">
        <w:rPr>
          <w:rFonts w:ascii="Times New Roman" w:hAnsi="Times New Roman"/>
        </w:rPr>
        <w:t xml:space="preserve"> амплификации нуклеиновых кислот методом электрофореза и (или) </w:t>
      </w:r>
      <w:proofErr w:type="spellStart"/>
      <w:r w:rsidRPr="00B22673">
        <w:rPr>
          <w:rFonts w:ascii="Times New Roman" w:hAnsi="Times New Roman"/>
        </w:rPr>
        <w:t>гибридизационно</w:t>
      </w:r>
      <w:proofErr w:type="spellEnd"/>
      <w:r w:rsidRPr="00B22673">
        <w:rPr>
          <w:rFonts w:ascii="Times New Roman" w:hAnsi="Times New Roman"/>
        </w:rPr>
        <w:t xml:space="preserve">-ферментным методом </w:t>
      </w:r>
      <w:proofErr w:type="spellStart"/>
      <w:r w:rsidRPr="00B22673">
        <w:rPr>
          <w:rFonts w:ascii="Times New Roman" w:hAnsi="Times New Roman"/>
        </w:rPr>
        <w:t>детекции</w:t>
      </w:r>
      <w:proofErr w:type="spellEnd"/>
      <w:r w:rsidRPr="00B22673">
        <w:rPr>
          <w:rFonts w:ascii="Times New Roman" w:hAnsi="Times New Roman"/>
        </w:rPr>
        <w:t>, а также очистки продуктов амплификации для секвенирования.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Рабочая зона 4-2 предназначена для учета результатов (де-</w:t>
      </w:r>
      <w:proofErr w:type="spellStart"/>
      <w:r w:rsidRPr="00B22673">
        <w:rPr>
          <w:rFonts w:ascii="Times New Roman" w:hAnsi="Times New Roman"/>
        </w:rPr>
        <w:t>текции</w:t>
      </w:r>
      <w:proofErr w:type="spellEnd"/>
      <w:r w:rsidRPr="00B22673">
        <w:rPr>
          <w:rFonts w:ascii="Times New Roman" w:hAnsi="Times New Roman"/>
        </w:rPr>
        <w:t xml:space="preserve">) продуктов амплификации нуклеиновых кислот методом </w:t>
      </w:r>
      <w:proofErr w:type="spellStart"/>
      <w:r w:rsidRPr="00B22673">
        <w:rPr>
          <w:rFonts w:ascii="Times New Roman" w:hAnsi="Times New Roman"/>
        </w:rPr>
        <w:t>секве-нирования</w:t>
      </w:r>
      <w:proofErr w:type="spellEnd"/>
      <w:r w:rsidRPr="00B22673">
        <w:rPr>
          <w:rFonts w:ascii="Times New Roman" w:hAnsi="Times New Roman"/>
        </w:rPr>
        <w:t xml:space="preserve"> и (или) на ДНК-чипах.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При использовании различных методов учета результатов (</w:t>
      </w:r>
      <w:proofErr w:type="spellStart"/>
      <w:r w:rsidRPr="00B22673">
        <w:rPr>
          <w:rFonts w:ascii="Times New Roman" w:hAnsi="Times New Roman"/>
        </w:rPr>
        <w:t>детекции</w:t>
      </w:r>
      <w:proofErr w:type="spellEnd"/>
      <w:r w:rsidRPr="00B22673">
        <w:rPr>
          <w:rFonts w:ascii="Times New Roman" w:hAnsi="Times New Roman"/>
        </w:rPr>
        <w:t>) продуктов амплификации нуклеиновых кислот (</w:t>
      </w:r>
      <w:proofErr w:type="spellStart"/>
      <w:proofErr w:type="gramStart"/>
      <w:r w:rsidRPr="00B22673">
        <w:rPr>
          <w:rFonts w:ascii="Times New Roman" w:hAnsi="Times New Roman"/>
        </w:rPr>
        <w:t>электрофо</w:t>
      </w:r>
      <w:proofErr w:type="spellEnd"/>
      <w:r w:rsidRPr="00B22673">
        <w:rPr>
          <w:rFonts w:ascii="Times New Roman" w:hAnsi="Times New Roman"/>
        </w:rPr>
        <w:t>-рез</w:t>
      </w:r>
      <w:proofErr w:type="gramEnd"/>
      <w:r w:rsidRPr="00B22673">
        <w:rPr>
          <w:rFonts w:ascii="Times New Roman" w:hAnsi="Times New Roman"/>
        </w:rPr>
        <w:t xml:space="preserve">, </w:t>
      </w:r>
      <w:proofErr w:type="spellStart"/>
      <w:r w:rsidRPr="00B22673">
        <w:rPr>
          <w:rFonts w:ascii="Times New Roman" w:hAnsi="Times New Roman"/>
        </w:rPr>
        <w:t>гибридизационно</w:t>
      </w:r>
      <w:proofErr w:type="spellEnd"/>
      <w:r w:rsidRPr="00B22673">
        <w:rPr>
          <w:rFonts w:ascii="Times New Roman" w:hAnsi="Times New Roman"/>
        </w:rPr>
        <w:t xml:space="preserve">-ферментативный анализ, </w:t>
      </w:r>
      <w:proofErr w:type="spellStart"/>
      <w:r w:rsidRPr="00B22673">
        <w:rPr>
          <w:rFonts w:ascii="Times New Roman" w:hAnsi="Times New Roman"/>
        </w:rPr>
        <w:t>секвенирование</w:t>
      </w:r>
      <w:proofErr w:type="spellEnd"/>
      <w:r w:rsidRPr="00B22673">
        <w:rPr>
          <w:rFonts w:ascii="Times New Roman" w:hAnsi="Times New Roman"/>
        </w:rPr>
        <w:t xml:space="preserve"> и ДНК-чипы) в рабочих зонах 4-1 и 4-2 выделяют отдельные рабочие </w:t>
      </w:r>
      <w:proofErr w:type="spellStart"/>
      <w:r w:rsidRPr="00B22673">
        <w:rPr>
          <w:rFonts w:ascii="Times New Roman" w:hAnsi="Times New Roman"/>
        </w:rPr>
        <w:t>подзоны</w:t>
      </w:r>
      <w:proofErr w:type="spellEnd"/>
      <w:r w:rsidRPr="00B22673">
        <w:rPr>
          <w:rFonts w:ascii="Times New Roman" w:hAnsi="Times New Roman"/>
        </w:rPr>
        <w:t xml:space="preserve"> или отдельные </w:t>
      </w:r>
      <w:proofErr w:type="spellStart"/>
      <w:r w:rsidRPr="00B22673">
        <w:rPr>
          <w:rFonts w:ascii="Times New Roman" w:hAnsi="Times New Roman"/>
        </w:rPr>
        <w:t>боксированные</w:t>
      </w:r>
      <w:proofErr w:type="spellEnd"/>
      <w:r w:rsidRPr="00B22673">
        <w:rPr>
          <w:rFonts w:ascii="Times New Roman" w:hAnsi="Times New Roman"/>
        </w:rPr>
        <w:t xml:space="preserve"> помещения (отдельные изолированные помещения) для каждого типа </w:t>
      </w:r>
      <w:proofErr w:type="spellStart"/>
      <w:r w:rsidRPr="00B22673">
        <w:rPr>
          <w:rFonts w:ascii="Times New Roman" w:hAnsi="Times New Roman"/>
        </w:rPr>
        <w:t>детекции</w:t>
      </w:r>
      <w:proofErr w:type="spellEnd"/>
      <w:r w:rsidRPr="00B22673">
        <w:rPr>
          <w:rFonts w:ascii="Times New Roman" w:hAnsi="Times New Roman"/>
        </w:rPr>
        <w:t>. Объединение рабочих зон 4-1 и 4-2 запрещено.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Помещения лаборатории оборудуют приточно-вытяжной </w:t>
      </w:r>
      <w:proofErr w:type="gramStart"/>
      <w:r w:rsidRPr="00B22673">
        <w:rPr>
          <w:rFonts w:ascii="Times New Roman" w:hAnsi="Times New Roman"/>
        </w:rPr>
        <w:t>вен-</w:t>
      </w:r>
      <w:proofErr w:type="spellStart"/>
      <w:r w:rsidRPr="00B22673">
        <w:rPr>
          <w:rFonts w:ascii="Times New Roman" w:hAnsi="Times New Roman"/>
        </w:rPr>
        <w:t>тиляцией</w:t>
      </w:r>
      <w:proofErr w:type="spellEnd"/>
      <w:proofErr w:type="gramEnd"/>
      <w:r w:rsidRPr="00B22673">
        <w:rPr>
          <w:rFonts w:ascii="Times New Roman" w:hAnsi="Times New Roman"/>
        </w:rPr>
        <w:t xml:space="preserve"> в соответствии с СП 1.3.1285—03 и (или) СП 1.3.2322—08.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рабочей зоне 3 объем приточного воздуха должен </w:t>
      </w:r>
      <w:proofErr w:type="spellStart"/>
      <w:proofErr w:type="gramStart"/>
      <w:r w:rsidRPr="00B22673">
        <w:rPr>
          <w:rFonts w:ascii="Times New Roman" w:hAnsi="Times New Roman"/>
        </w:rPr>
        <w:t>соот-ветствовать</w:t>
      </w:r>
      <w:proofErr w:type="spellEnd"/>
      <w:proofErr w:type="gramEnd"/>
      <w:r w:rsidRPr="00B22673">
        <w:rPr>
          <w:rFonts w:ascii="Times New Roman" w:hAnsi="Times New Roman"/>
        </w:rPr>
        <w:t xml:space="preserve"> объему на вытяжке. 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рабочих зонах 1 и 2 вытяжка должна преобладать над притоком.  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lastRenderedPageBreak/>
        <w:t xml:space="preserve">Рабочие зоны 4-1 и 4-2 рекомендуется оборудовать </w:t>
      </w:r>
      <w:proofErr w:type="gramStart"/>
      <w:r w:rsidRPr="00B22673">
        <w:rPr>
          <w:rFonts w:ascii="Times New Roman" w:hAnsi="Times New Roman"/>
        </w:rPr>
        <w:t>авто-</w:t>
      </w:r>
      <w:proofErr w:type="spellStart"/>
      <w:r w:rsidRPr="00B22673">
        <w:rPr>
          <w:rFonts w:ascii="Times New Roman" w:hAnsi="Times New Roman"/>
        </w:rPr>
        <w:t>номной</w:t>
      </w:r>
      <w:proofErr w:type="spellEnd"/>
      <w:proofErr w:type="gramEnd"/>
      <w:r w:rsidRPr="00B22673">
        <w:rPr>
          <w:rFonts w:ascii="Times New Roman" w:hAnsi="Times New Roman"/>
        </w:rPr>
        <w:t xml:space="preserve"> системой приточно-вытяжной вентиляции. Вытяжка должна преобладать над притоком.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При разделении зоны 3 на </w:t>
      </w:r>
      <w:proofErr w:type="spellStart"/>
      <w:r w:rsidRPr="00B22673">
        <w:rPr>
          <w:rFonts w:ascii="Times New Roman" w:hAnsi="Times New Roman"/>
        </w:rPr>
        <w:t>подзоны</w:t>
      </w:r>
      <w:proofErr w:type="spellEnd"/>
      <w:r w:rsidRPr="00B22673">
        <w:rPr>
          <w:rFonts w:ascii="Times New Roman" w:hAnsi="Times New Roman"/>
        </w:rPr>
        <w:t xml:space="preserve"> 3а и 3б, приточно-вытяжная вентиляция в них должна быть выполнена в соответствии с п. 5.13.1. для </w:t>
      </w:r>
      <w:proofErr w:type="spellStart"/>
      <w:r w:rsidRPr="00B22673">
        <w:rPr>
          <w:rFonts w:ascii="Times New Roman" w:hAnsi="Times New Roman"/>
        </w:rPr>
        <w:t>подзоны</w:t>
      </w:r>
      <w:proofErr w:type="spellEnd"/>
      <w:r w:rsidRPr="00B22673">
        <w:rPr>
          <w:rFonts w:ascii="Times New Roman" w:hAnsi="Times New Roman"/>
        </w:rPr>
        <w:t xml:space="preserve"> 3а и п. 5.13.2. для </w:t>
      </w:r>
      <w:proofErr w:type="spellStart"/>
      <w:r w:rsidRPr="00B22673">
        <w:rPr>
          <w:rFonts w:ascii="Times New Roman" w:hAnsi="Times New Roman"/>
        </w:rPr>
        <w:t>подзоны</w:t>
      </w:r>
      <w:proofErr w:type="spellEnd"/>
      <w:r w:rsidRPr="00B22673">
        <w:rPr>
          <w:rFonts w:ascii="Times New Roman" w:hAnsi="Times New Roman"/>
        </w:rPr>
        <w:t xml:space="preserve"> 3б.   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В условиях жаркого климата разрешается установка </w:t>
      </w:r>
      <w:proofErr w:type="spellStart"/>
      <w:proofErr w:type="gramStart"/>
      <w:r w:rsidRPr="00B22673">
        <w:rPr>
          <w:rFonts w:ascii="Times New Roman" w:hAnsi="Times New Roman"/>
        </w:rPr>
        <w:t>конди-ционеров</w:t>
      </w:r>
      <w:proofErr w:type="spellEnd"/>
      <w:proofErr w:type="gramEnd"/>
      <w:r w:rsidRPr="00B22673">
        <w:rPr>
          <w:rFonts w:ascii="Times New Roman" w:hAnsi="Times New Roman"/>
        </w:rPr>
        <w:t xml:space="preserve"> в помещениях рабочих зон лаборатории при условии их вы-</w:t>
      </w:r>
      <w:proofErr w:type="spellStart"/>
      <w:r w:rsidRPr="00B22673">
        <w:rPr>
          <w:rFonts w:ascii="Times New Roman" w:hAnsi="Times New Roman"/>
        </w:rPr>
        <w:t>ключения</w:t>
      </w:r>
      <w:proofErr w:type="spellEnd"/>
      <w:r w:rsidRPr="00B22673">
        <w:rPr>
          <w:rFonts w:ascii="Times New Roman" w:hAnsi="Times New Roman"/>
        </w:rPr>
        <w:t xml:space="preserve"> на время проведения работ с использованием МАНК с после-дующей дезинфекционной обработкой рабочего места.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Каждая самостоятельная рабочая зона должна быть оснащена минимальным набором соответствующего лабораторного оборудования в зависимости от их функционального назначения и риска контаминации (прилож. 3), необходимым комплектом мебели, пластиковой и стеклянной посуды, расходных материалов, защитной одежды и уборочного инвентаря, используемых только в данном помещении.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 xml:space="preserve">Необходимый комплект лабораторного оборудования </w:t>
      </w:r>
      <w:proofErr w:type="spellStart"/>
      <w:r w:rsidRPr="00B22673">
        <w:rPr>
          <w:rFonts w:ascii="Times New Roman" w:hAnsi="Times New Roman"/>
        </w:rPr>
        <w:t>опре-деляют</w:t>
      </w:r>
      <w:proofErr w:type="spellEnd"/>
      <w:r w:rsidRPr="00B22673">
        <w:rPr>
          <w:rFonts w:ascii="Times New Roman" w:hAnsi="Times New Roman"/>
        </w:rPr>
        <w:t xml:space="preserve"> с учетом </w:t>
      </w:r>
      <w:proofErr w:type="gramStart"/>
      <w:r w:rsidRPr="00B22673">
        <w:rPr>
          <w:rFonts w:ascii="Times New Roman" w:hAnsi="Times New Roman"/>
        </w:rPr>
        <w:t>используемых</w:t>
      </w:r>
      <w:proofErr w:type="gramEnd"/>
      <w:r w:rsidRPr="00B22673">
        <w:rPr>
          <w:rFonts w:ascii="Times New Roman" w:hAnsi="Times New Roman"/>
        </w:rPr>
        <w:t xml:space="preserve"> МАНК.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Лабораторная мебель, оборудование и принадлежности каждой рабочей зоны должны иметь маркировку указанной зоны (помещения), их применение в других рабочих зонах (помещениях) или для других видов исследований не допускается.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Лабораторная мебель, поверхность используем</w:t>
      </w:r>
      <w:r w:rsidR="00EF3423">
        <w:rPr>
          <w:rFonts w:ascii="Times New Roman" w:hAnsi="Times New Roman"/>
        </w:rPr>
        <w:t>ого оборудо</w:t>
      </w:r>
      <w:r w:rsidRPr="00B22673">
        <w:rPr>
          <w:rFonts w:ascii="Times New Roman" w:hAnsi="Times New Roman"/>
        </w:rPr>
        <w:t>вания должны быть устойчивы к</w:t>
      </w:r>
      <w:r w:rsidR="00EF3423">
        <w:rPr>
          <w:rFonts w:ascii="Times New Roman" w:hAnsi="Times New Roman"/>
        </w:rPr>
        <w:t xml:space="preserve"> действию моющих и дезинфицирую</w:t>
      </w:r>
      <w:r w:rsidRPr="00B22673">
        <w:rPr>
          <w:rFonts w:ascii="Times New Roman" w:hAnsi="Times New Roman"/>
        </w:rPr>
        <w:t xml:space="preserve">щих средств, ультрафиолетового излучения, поверхность столов не должна иметь трещин и швов. 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Оборудование и измерите</w:t>
      </w:r>
      <w:r w:rsidR="00EF3423">
        <w:rPr>
          <w:rFonts w:ascii="Times New Roman" w:hAnsi="Times New Roman"/>
        </w:rPr>
        <w:t>льные приборы, используемые в р</w:t>
      </w:r>
      <w:r w:rsidRPr="00B22673">
        <w:rPr>
          <w:rFonts w:ascii="Times New Roman" w:hAnsi="Times New Roman"/>
        </w:rPr>
        <w:t>-боте лаборатории, должны быть зарегистрированы в установленном порядке и исправны, иметь технический паспорт и рабочую инструкцию по эксплуатации, соответствовать н</w:t>
      </w:r>
      <w:r w:rsidR="00EF3423">
        <w:rPr>
          <w:rFonts w:ascii="Times New Roman" w:hAnsi="Times New Roman"/>
        </w:rPr>
        <w:t>ормам безопасности и электромаг</w:t>
      </w:r>
      <w:r w:rsidRPr="00B22673">
        <w:rPr>
          <w:rFonts w:ascii="Times New Roman" w:hAnsi="Times New Roman"/>
        </w:rPr>
        <w:t>нитной совместимости. Не реже 1 раза в год измерительные приборы должны подвергаться метрологическому контролю (поверке).</w:t>
      </w:r>
    </w:p>
    <w:p w:rsidR="00B22673" w:rsidRPr="00B22673" w:rsidRDefault="00B22673" w:rsidP="00B22673">
      <w:pPr>
        <w:spacing w:after="0"/>
        <w:ind w:firstLine="426"/>
        <w:jc w:val="both"/>
        <w:rPr>
          <w:rFonts w:ascii="Times New Roman" w:hAnsi="Times New Roman"/>
        </w:rPr>
      </w:pPr>
      <w:r w:rsidRPr="00B22673">
        <w:rPr>
          <w:rFonts w:ascii="Times New Roman" w:hAnsi="Times New Roman"/>
        </w:rPr>
        <w:t>Лаборатория должна быть обеспечена аптечкой стандартной комплектации для оказания первой медицинской помощи при авариях в соответствии с действующими сани</w:t>
      </w:r>
      <w:r w:rsidR="00EF3423">
        <w:rPr>
          <w:rFonts w:ascii="Times New Roman" w:hAnsi="Times New Roman"/>
        </w:rPr>
        <w:t>тарными правилами, регламентиру</w:t>
      </w:r>
      <w:r w:rsidRPr="00B22673">
        <w:rPr>
          <w:rFonts w:ascii="Times New Roman" w:hAnsi="Times New Roman"/>
        </w:rPr>
        <w:t>ющими безопасность работ с микроо</w:t>
      </w:r>
      <w:r w:rsidR="00EF3423">
        <w:rPr>
          <w:rFonts w:ascii="Times New Roman" w:hAnsi="Times New Roman"/>
        </w:rPr>
        <w:t>рганизмами I—IV групп патогенно</w:t>
      </w:r>
      <w:r w:rsidRPr="00B22673">
        <w:rPr>
          <w:rFonts w:ascii="Times New Roman" w:hAnsi="Times New Roman"/>
        </w:rPr>
        <w:t>сти.</w:t>
      </w:r>
    </w:p>
    <w:p w:rsidR="0080742C" w:rsidRDefault="0080742C" w:rsidP="0080742C">
      <w:pPr>
        <w:spacing w:after="0"/>
        <w:ind w:firstLine="426"/>
        <w:jc w:val="both"/>
        <w:rPr>
          <w:rFonts w:ascii="Times New Roman" w:hAnsi="Times New Roman"/>
          <w:b/>
        </w:rPr>
      </w:pPr>
      <w:r w:rsidRPr="0080742C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Pr="0080742C">
        <w:rPr>
          <w:rFonts w:ascii="Times New Roman" w:hAnsi="Times New Roman"/>
          <w:b/>
        </w:rPr>
        <w:t>Способы  обеззараживания материала, исследуемого методом ПЦР (</w:t>
      </w:r>
      <w:r w:rsidRPr="0080742C">
        <w:rPr>
          <w:rFonts w:ascii="Times New Roman" w:hAnsi="Times New Roman"/>
          <w:b/>
          <w:color w:val="000000"/>
        </w:rPr>
        <w:t>МУ 1.3. 2569-09</w:t>
      </w:r>
      <w:r w:rsidRPr="0080742C">
        <w:rPr>
          <w:rFonts w:ascii="Times New Roman" w:hAnsi="Times New Roman"/>
          <w:b/>
        </w:rPr>
        <w:t xml:space="preserve">, Приложение 5). </w:t>
      </w:r>
    </w:p>
    <w:p w:rsidR="0080742C" w:rsidRPr="0080742C" w:rsidRDefault="0080742C" w:rsidP="0080742C">
      <w:pPr>
        <w:spacing w:after="0"/>
        <w:ind w:firstLine="426"/>
        <w:jc w:val="both"/>
        <w:rPr>
          <w:rFonts w:ascii="Times New Roman" w:hAnsi="Times New Roman"/>
        </w:rPr>
      </w:pPr>
      <w:r w:rsidRPr="0080742C">
        <w:rPr>
          <w:rFonts w:ascii="Times New Roman" w:hAnsi="Times New Roman"/>
        </w:rPr>
        <w:t xml:space="preserve">1. </w:t>
      </w:r>
      <w:r w:rsidRPr="0080742C">
        <w:rPr>
          <w:rFonts w:ascii="Times New Roman" w:hAnsi="Times New Roman"/>
        </w:rPr>
        <w:t>Исследуемый материал может быть представлен чистыми культурами микроорганизмов, биологич</w:t>
      </w:r>
      <w:r w:rsidRPr="0080742C">
        <w:rPr>
          <w:rFonts w:ascii="Times New Roman" w:hAnsi="Times New Roman"/>
        </w:rPr>
        <w:t>е</w:t>
      </w:r>
      <w:r w:rsidRPr="0080742C">
        <w:rPr>
          <w:rFonts w:ascii="Times New Roman" w:hAnsi="Times New Roman"/>
        </w:rPr>
        <w:t xml:space="preserve">ским или секционным материалом от человека и </w:t>
      </w:r>
      <w:r w:rsidRPr="0080742C">
        <w:rPr>
          <w:rFonts w:ascii="Times New Roman" w:hAnsi="Times New Roman"/>
        </w:rPr>
        <w:lastRenderedPageBreak/>
        <w:t>животных, насекомыми, пищевыми продуктами, смывами с поверхностей, фильтратами по</w:t>
      </w:r>
      <w:r w:rsidRPr="0080742C">
        <w:rPr>
          <w:rFonts w:ascii="Times New Roman" w:hAnsi="Times New Roman"/>
        </w:rPr>
        <w:t>ч</w:t>
      </w:r>
      <w:r w:rsidRPr="0080742C">
        <w:rPr>
          <w:rFonts w:ascii="Times New Roman" w:hAnsi="Times New Roman"/>
        </w:rPr>
        <w:t>вы и т. д. (прилож. 2).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2. Обработка исследуемого материала, инфицированного бактер</w:t>
      </w:r>
      <w:r w:rsidRPr="0080742C">
        <w:rPr>
          <w:sz w:val="24"/>
          <w:szCs w:val="24"/>
        </w:rPr>
        <w:t>и</w:t>
      </w:r>
      <w:r w:rsidRPr="0080742C">
        <w:rPr>
          <w:sz w:val="24"/>
          <w:szCs w:val="24"/>
        </w:rPr>
        <w:t>ями I—I</w:t>
      </w:r>
      <w:r w:rsidRPr="0080742C">
        <w:rPr>
          <w:sz w:val="24"/>
          <w:szCs w:val="24"/>
          <w:lang w:val="en-US"/>
        </w:rPr>
        <w:t>V</w:t>
      </w:r>
      <w:r w:rsidRPr="0080742C">
        <w:rPr>
          <w:sz w:val="24"/>
          <w:szCs w:val="24"/>
        </w:rPr>
        <w:t xml:space="preserve"> групп патогенности и возбудителями глубоких микозов.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2.1. Обработка исследуемого материала, инфицированного (подозрительного на инфицирование) микроорганизмами I—</w:t>
      </w:r>
      <w:r w:rsidRPr="0080742C">
        <w:rPr>
          <w:sz w:val="24"/>
          <w:szCs w:val="24"/>
          <w:lang w:val="en-US"/>
        </w:rPr>
        <w:t>II</w:t>
      </w:r>
      <w:r w:rsidRPr="0080742C">
        <w:rPr>
          <w:sz w:val="24"/>
          <w:szCs w:val="24"/>
        </w:rPr>
        <w:t xml:space="preserve"> групп патоге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ности (бактериями, не образующими споры, хламидиями, риккетсиями и возбудителями глубоких микозов), проводится следующим сп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собом:</w:t>
      </w:r>
    </w:p>
    <w:p w:rsidR="0080742C" w:rsidRPr="0080742C" w:rsidRDefault="0080742C" w:rsidP="0080742C">
      <w:pPr>
        <w:pStyle w:val="spisok"/>
        <w:rPr>
          <w:sz w:val="24"/>
          <w:szCs w:val="24"/>
        </w:rPr>
      </w:pPr>
      <w:r w:rsidRPr="0080742C">
        <w:rPr>
          <w:sz w:val="24"/>
          <w:szCs w:val="24"/>
        </w:rPr>
        <w:t xml:space="preserve">к исследуемому образцу добавляют </w:t>
      </w:r>
      <w:proofErr w:type="spellStart"/>
      <w:r w:rsidRPr="0080742C">
        <w:rPr>
          <w:sz w:val="24"/>
          <w:szCs w:val="24"/>
        </w:rPr>
        <w:t>мертиолят</w:t>
      </w:r>
      <w:proofErr w:type="spellEnd"/>
      <w:r w:rsidRPr="0080742C">
        <w:rPr>
          <w:sz w:val="24"/>
          <w:szCs w:val="24"/>
        </w:rPr>
        <w:t xml:space="preserve"> натрия до коне</w:t>
      </w:r>
      <w:r w:rsidRPr="0080742C">
        <w:rPr>
          <w:sz w:val="24"/>
          <w:szCs w:val="24"/>
        </w:rPr>
        <w:t>ч</w:t>
      </w:r>
      <w:r w:rsidRPr="0080742C">
        <w:rPr>
          <w:sz w:val="24"/>
          <w:szCs w:val="24"/>
        </w:rPr>
        <w:t>ной концентрации 1 : 10 000 (0,01 %) и прогревают его при 56</w:t>
      </w:r>
      <w:proofErr w:type="gramStart"/>
      <w:r w:rsidRPr="0080742C">
        <w:rPr>
          <w:sz w:val="24"/>
          <w:szCs w:val="24"/>
        </w:rPr>
        <w:t>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</w:t>
      </w:r>
      <w:proofErr w:type="gramEnd"/>
      <w:r w:rsidRPr="0080742C">
        <w:rPr>
          <w:sz w:val="24"/>
          <w:szCs w:val="24"/>
        </w:rPr>
        <w:t xml:space="preserve"> в теч</w:t>
      </w:r>
      <w:r w:rsidRPr="0080742C">
        <w:rPr>
          <w:sz w:val="24"/>
          <w:szCs w:val="24"/>
        </w:rPr>
        <w:t>е</w:t>
      </w:r>
      <w:r w:rsidRPr="0080742C">
        <w:rPr>
          <w:sz w:val="24"/>
          <w:szCs w:val="24"/>
        </w:rPr>
        <w:t xml:space="preserve">ние 30 мин. Затем 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образца переносят в </w:t>
      </w:r>
      <w:proofErr w:type="spellStart"/>
      <w:r w:rsidRPr="0080742C">
        <w:rPr>
          <w:sz w:val="24"/>
          <w:szCs w:val="24"/>
        </w:rPr>
        <w:t>микроцентрифужные</w:t>
      </w:r>
      <w:proofErr w:type="spellEnd"/>
      <w:r w:rsidRPr="0080742C">
        <w:rPr>
          <w:sz w:val="24"/>
          <w:szCs w:val="24"/>
        </w:rPr>
        <w:t xml:space="preserve"> пробирки объемом 1,5 мл, добавляют </w:t>
      </w:r>
      <w:proofErr w:type="spellStart"/>
      <w:r w:rsidRPr="0080742C">
        <w:rPr>
          <w:sz w:val="24"/>
          <w:szCs w:val="24"/>
        </w:rPr>
        <w:t>лизирующий</w:t>
      </w:r>
      <w:proofErr w:type="spellEnd"/>
      <w:r w:rsidRPr="0080742C">
        <w:rPr>
          <w:sz w:val="24"/>
          <w:szCs w:val="24"/>
        </w:rPr>
        <w:t xml:space="preserve"> раствор, приготовленный на основе </w:t>
      </w:r>
      <w:smartTag w:uri="urn:schemas-microsoft-com:office:smarttags" w:element="metricconverter">
        <w:smartTagPr>
          <w:attr w:name="ProductID" w:val="6 М"/>
        </w:smartTagPr>
        <w:r w:rsidRPr="0080742C">
          <w:rPr>
            <w:sz w:val="24"/>
            <w:szCs w:val="24"/>
          </w:rPr>
          <w:t>6 М</w:t>
        </w:r>
      </w:smartTag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гуанидинизотиоцианата</w:t>
      </w:r>
      <w:proofErr w:type="spellEnd"/>
      <w:r w:rsidRPr="0080742C">
        <w:rPr>
          <w:sz w:val="24"/>
          <w:szCs w:val="24"/>
        </w:rPr>
        <w:t xml:space="preserve"> в объеме, указанном в инс</w:t>
      </w:r>
      <w:r w:rsidRPr="0080742C">
        <w:rPr>
          <w:sz w:val="24"/>
          <w:szCs w:val="24"/>
        </w:rPr>
        <w:t>т</w:t>
      </w:r>
      <w:r w:rsidRPr="0080742C">
        <w:rPr>
          <w:sz w:val="24"/>
          <w:szCs w:val="24"/>
        </w:rPr>
        <w:t>рукции по применению к набору реагентов, и инкубируют 15 мин при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После выполнения данных процедур материал считается обезз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раженным.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 xml:space="preserve">2.2. Обработка исследуемого материала, инфицированного (подозрительного на инфицирование) микроорганизмами </w:t>
      </w:r>
      <w:r w:rsidRPr="0080742C">
        <w:rPr>
          <w:sz w:val="24"/>
          <w:szCs w:val="24"/>
          <w:lang w:val="en-US"/>
        </w:rPr>
        <w:t>III</w:t>
      </w:r>
      <w:r w:rsidRPr="0080742C">
        <w:rPr>
          <w:sz w:val="24"/>
          <w:szCs w:val="24"/>
        </w:rPr>
        <w:t>—</w:t>
      </w:r>
      <w:r w:rsidRPr="0080742C">
        <w:rPr>
          <w:sz w:val="24"/>
          <w:szCs w:val="24"/>
          <w:lang w:val="en-US"/>
        </w:rPr>
        <w:t>IV</w:t>
      </w:r>
      <w:r w:rsidRPr="0080742C">
        <w:rPr>
          <w:sz w:val="24"/>
          <w:szCs w:val="24"/>
        </w:rPr>
        <w:t xml:space="preserve"> групп пат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генности (вирусами, хламидиями, риккетсиями и бактериями, не образующими споры) проводится одним из следующих сп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собов: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2.2.1. Способ 1. Прогревание исследуемого образца при 100</w:t>
      </w:r>
      <w:proofErr w:type="gramStart"/>
      <w:r w:rsidRPr="0080742C">
        <w:rPr>
          <w:sz w:val="24"/>
          <w:szCs w:val="24"/>
        </w:rPr>
        <w:t>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</w:t>
      </w:r>
      <w:proofErr w:type="gramEnd"/>
      <w:r w:rsidRPr="0080742C">
        <w:rPr>
          <w:sz w:val="24"/>
          <w:szCs w:val="24"/>
        </w:rPr>
        <w:t xml:space="preserve"> в течение 30 мин.  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 xml:space="preserve">2.2.2. Способ 2. К 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исследуемого образца добавляют </w:t>
      </w:r>
      <w:proofErr w:type="spellStart"/>
      <w:r w:rsidRPr="0080742C">
        <w:rPr>
          <w:sz w:val="24"/>
          <w:szCs w:val="24"/>
        </w:rPr>
        <w:t>лиз</w:t>
      </w:r>
      <w:r w:rsidRPr="0080742C">
        <w:rPr>
          <w:sz w:val="24"/>
          <w:szCs w:val="24"/>
        </w:rPr>
        <w:t>и</w:t>
      </w:r>
      <w:r w:rsidRPr="0080742C">
        <w:rPr>
          <w:sz w:val="24"/>
          <w:szCs w:val="24"/>
        </w:rPr>
        <w:t>рующий</w:t>
      </w:r>
      <w:proofErr w:type="spellEnd"/>
      <w:r w:rsidRPr="0080742C">
        <w:rPr>
          <w:sz w:val="24"/>
          <w:szCs w:val="24"/>
        </w:rPr>
        <w:t xml:space="preserve"> раствор, приготовленный на основе </w:t>
      </w:r>
      <w:smartTag w:uri="urn:schemas-microsoft-com:office:smarttags" w:element="metricconverter">
        <w:smartTagPr>
          <w:attr w:name="ProductID" w:val="6 М"/>
        </w:smartTagPr>
        <w:r w:rsidRPr="0080742C">
          <w:rPr>
            <w:sz w:val="24"/>
            <w:szCs w:val="24"/>
          </w:rPr>
          <w:t>6 М</w:t>
        </w:r>
      </w:smartTag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гуанидинизотиоциан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та</w:t>
      </w:r>
      <w:proofErr w:type="spellEnd"/>
      <w:r w:rsidRPr="0080742C">
        <w:rPr>
          <w:sz w:val="24"/>
          <w:szCs w:val="24"/>
        </w:rPr>
        <w:t xml:space="preserve"> в объеме, указанном в инструкции по применению к набору реаге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тов (тест-системе) с последующей его инкубацией в течение 15 мин при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 xml:space="preserve">С. 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 xml:space="preserve">После выполнения процедуры, указанной в </w:t>
      </w:r>
      <w:proofErr w:type="spellStart"/>
      <w:r w:rsidRPr="0080742C">
        <w:rPr>
          <w:sz w:val="24"/>
          <w:szCs w:val="24"/>
        </w:rPr>
        <w:t>п.п</w:t>
      </w:r>
      <w:proofErr w:type="spellEnd"/>
      <w:r w:rsidRPr="0080742C">
        <w:rPr>
          <w:sz w:val="24"/>
          <w:szCs w:val="24"/>
        </w:rPr>
        <w:t>. 2.2.1 или 2.2.2, материал считается обеззар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женным.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2.3. Обработка исследуемого материала, инфицированного (подозрительного на инфицирование) бактериями I</w:t>
      </w:r>
      <w:r w:rsidRPr="0080742C">
        <w:rPr>
          <w:sz w:val="24"/>
          <w:szCs w:val="24"/>
          <w:lang w:val="en-US"/>
        </w:rPr>
        <w:t>I</w:t>
      </w:r>
      <w:r w:rsidRPr="0080742C">
        <w:rPr>
          <w:sz w:val="24"/>
          <w:szCs w:val="24"/>
        </w:rPr>
        <w:t>—I</w:t>
      </w:r>
      <w:r w:rsidRPr="0080742C">
        <w:rPr>
          <w:sz w:val="24"/>
          <w:szCs w:val="24"/>
          <w:lang w:val="en-US"/>
        </w:rPr>
        <w:t>V</w:t>
      </w:r>
      <w:r w:rsidRPr="0080742C">
        <w:rPr>
          <w:sz w:val="24"/>
          <w:szCs w:val="24"/>
        </w:rPr>
        <w:t xml:space="preserve"> групп патогенности, образующими сп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ры, проводится следующим способом:</w:t>
      </w:r>
    </w:p>
    <w:p w:rsidR="0080742C" w:rsidRPr="0080742C" w:rsidRDefault="0080742C" w:rsidP="0080742C">
      <w:pPr>
        <w:pStyle w:val="spisok"/>
        <w:rPr>
          <w:sz w:val="24"/>
          <w:szCs w:val="24"/>
        </w:rPr>
      </w:pPr>
      <w:r w:rsidRPr="0080742C">
        <w:rPr>
          <w:sz w:val="24"/>
          <w:szCs w:val="24"/>
        </w:rPr>
        <w:t xml:space="preserve">исследуемый материал в количестве 0,1 мл засевают в пробирки с 0,9 мл бульона </w:t>
      </w:r>
      <w:proofErr w:type="spellStart"/>
      <w:r w:rsidRPr="0080742C">
        <w:rPr>
          <w:sz w:val="24"/>
          <w:szCs w:val="24"/>
        </w:rPr>
        <w:t>Хоттингера</w:t>
      </w:r>
      <w:proofErr w:type="spellEnd"/>
      <w:r w:rsidRPr="0080742C">
        <w:rPr>
          <w:sz w:val="24"/>
          <w:szCs w:val="24"/>
        </w:rPr>
        <w:t>, рН 7,2 и инкубируют с аэрацией при 37</w:t>
      </w:r>
      <w:proofErr w:type="gramStart"/>
      <w:r w:rsidRPr="0080742C">
        <w:rPr>
          <w:sz w:val="24"/>
          <w:szCs w:val="24"/>
        </w:rPr>
        <w:t>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</w:t>
      </w:r>
      <w:proofErr w:type="gramEnd"/>
      <w:r w:rsidRPr="0080742C">
        <w:rPr>
          <w:sz w:val="24"/>
          <w:szCs w:val="24"/>
        </w:rPr>
        <w:t xml:space="preserve"> в течение 2,5 ч. Добавляют пенициллин до конечной концентрации 1 000 ед./мл и инкубируют при 37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 в течение 15 мин. После инкубации с пенициллином исследуемый материал прогревают на водяной бане в течение 10 мин при температуре 100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 xml:space="preserve">С. Затем 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обработанн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 xml:space="preserve">го образца переносят в пробирки объемом 1,5 мл и добавляют </w:t>
      </w:r>
      <w:proofErr w:type="spellStart"/>
      <w:r w:rsidRPr="0080742C">
        <w:rPr>
          <w:sz w:val="24"/>
          <w:szCs w:val="24"/>
        </w:rPr>
        <w:t>лизирующий</w:t>
      </w:r>
      <w:proofErr w:type="spellEnd"/>
      <w:r w:rsidRPr="0080742C">
        <w:rPr>
          <w:sz w:val="24"/>
          <w:szCs w:val="24"/>
        </w:rPr>
        <w:t xml:space="preserve"> раствор, приготовленный на основе </w:t>
      </w:r>
      <w:smartTag w:uri="urn:schemas-microsoft-com:office:smarttags" w:element="metricconverter">
        <w:smartTagPr>
          <w:attr w:name="ProductID" w:val="6 М"/>
        </w:smartTagPr>
        <w:r w:rsidRPr="0080742C">
          <w:rPr>
            <w:sz w:val="24"/>
            <w:szCs w:val="24"/>
          </w:rPr>
          <w:t>6 М</w:t>
        </w:r>
      </w:smartTag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гуанидинтиоизоцианата</w:t>
      </w:r>
      <w:proofErr w:type="spellEnd"/>
      <w:r w:rsidRPr="0080742C">
        <w:rPr>
          <w:sz w:val="24"/>
          <w:szCs w:val="24"/>
        </w:rPr>
        <w:t xml:space="preserve"> в объеме, указанном в инструкции по применению к набору реагентов, и </w:t>
      </w:r>
      <w:proofErr w:type="gramStart"/>
      <w:r w:rsidRPr="0080742C">
        <w:rPr>
          <w:sz w:val="24"/>
          <w:szCs w:val="24"/>
        </w:rPr>
        <w:t>инк</w:t>
      </w:r>
      <w:r w:rsidRPr="0080742C">
        <w:rPr>
          <w:sz w:val="24"/>
          <w:szCs w:val="24"/>
        </w:rPr>
        <w:t>у</w:t>
      </w:r>
      <w:r w:rsidRPr="0080742C">
        <w:rPr>
          <w:sz w:val="24"/>
          <w:szCs w:val="24"/>
        </w:rPr>
        <w:t>бируют 15 мин при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После выполнения данных процедур материал считается</w:t>
      </w:r>
      <w:proofErr w:type="gramEnd"/>
      <w:r w:rsidRPr="0080742C">
        <w:rPr>
          <w:sz w:val="24"/>
          <w:szCs w:val="24"/>
        </w:rPr>
        <w:t xml:space="preserve"> обеззар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женным.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3. Обработка исследуемого материала, инф</w:t>
      </w:r>
      <w:r w:rsidRPr="0080742C">
        <w:rPr>
          <w:sz w:val="24"/>
          <w:szCs w:val="24"/>
        </w:rPr>
        <w:t>и</w:t>
      </w:r>
      <w:r w:rsidRPr="0080742C">
        <w:rPr>
          <w:sz w:val="24"/>
          <w:szCs w:val="24"/>
        </w:rPr>
        <w:t xml:space="preserve">цированного вирусами </w:t>
      </w:r>
      <w:r w:rsidRPr="0080742C">
        <w:rPr>
          <w:sz w:val="24"/>
          <w:szCs w:val="24"/>
          <w:lang w:val="en-US"/>
        </w:rPr>
        <w:t>I</w:t>
      </w:r>
      <w:r w:rsidRPr="0080742C">
        <w:rPr>
          <w:sz w:val="24"/>
          <w:szCs w:val="24"/>
        </w:rPr>
        <w:t>—</w:t>
      </w:r>
      <w:r w:rsidRPr="0080742C">
        <w:rPr>
          <w:sz w:val="24"/>
          <w:szCs w:val="24"/>
          <w:lang w:val="en-US"/>
        </w:rPr>
        <w:t>II</w:t>
      </w:r>
      <w:r w:rsidRPr="0080742C">
        <w:rPr>
          <w:sz w:val="24"/>
          <w:szCs w:val="24"/>
        </w:rPr>
        <w:t xml:space="preserve"> групп патогенности.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3.1. Обработка исследуемого материала, инфицированного вирусом натуральной оспы, пров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дится следующим способом:</w:t>
      </w:r>
    </w:p>
    <w:p w:rsidR="0080742C" w:rsidRPr="0080742C" w:rsidRDefault="0080742C" w:rsidP="0080742C">
      <w:pPr>
        <w:pStyle w:val="spisok"/>
        <w:rPr>
          <w:sz w:val="24"/>
          <w:szCs w:val="24"/>
        </w:rPr>
      </w:pPr>
      <w:r w:rsidRPr="0080742C">
        <w:rPr>
          <w:sz w:val="24"/>
          <w:szCs w:val="24"/>
        </w:rPr>
        <w:lastRenderedPageBreak/>
        <w:t xml:space="preserve">материал (100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>) помещают в пробирку объемом 1,5 мл, доба</w:t>
      </w:r>
      <w:r w:rsidRPr="0080742C">
        <w:rPr>
          <w:sz w:val="24"/>
          <w:szCs w:val="24"/>
        </w:rPr>
        <w:t>в</w:t>
      </w:r>
      <w:r w:rsidRPr="0080742C">
        <w:rPr>
          <w:sz w:val="24"/>
          <w:szCs w:val="24"/>
        </w:rPr>
        <w:t xml:space="preserve">ляют 400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лизирующего</w:t>
      </w:r>
      <w:proofErr w:type="spellEnd"/>
      <w:r w:rsidRPr="0080742C">
        <w:rPr>
          <w:sz w:val="24"/>
          <w:szCs w:val="24"/>
        </w:rPr>
        <w:t xml:space="preserve"> буферного раствора, содержащего </w:t>
      </w:r>
      <w:smartTag w:uri="urn:schemas-microsoft-com:office:smarttags" w:element="metricconverter">
        <w:smartTagPr>
          <w:attr w:name="ProductID" w:val="100 мМ"/>
        </w:smartTagPr>
        <w:r w:rsidRPr="0080742C">
          <w:rPr>
            <w:sz w:val="24"/>
            <w:szCs w:val="24"/>
          </w:rPr>
          <w:t>100 </w:t>
        </w:r>
        <w:proofErr w:type="spellStart"/>
        <w:r w:rsidRPr="0080742C">
          <w:rPr>
            <w:sz w:val="24"/>
            <w:szCs w:val="24"/>
          </w:rPr>
          <w:t>мМ</w:t>
        </w:r>
      </w:smartTag>
      <w:proofErr w:type="spellEnd"/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Tрис-HCl</w:t>
      </w:r>
      <w:proofErr w:type="spellEnd"/>
      <w:r w:rsidRPr="0080742C">
        <w:rPr>
          <w:sz w:val="24"/>
          <w:szCs w:val="24"/>
        </w:rPr>
        <w:t xml:space="preserve"> (</w:t>
      </w:r>
      <w:proofErr w:type="spellStart"/>
      <w:r w:rsidRPr="0080742C">
        <w:rPr>
          <w:sz w:val="24"/>
          <w:szCs w:val="24"/>
        </w:rPr>
        <w:t>pH</w:t>
      </w:r>
      <w:proofErr w:type="spellEnd"/>
      <w:r w:rsidRPr="0080742C">
        <w:rPr>
          <w:sz w:val="24"/>
          <w:szCs w:val="24"/>
        </w:rPr>
        <w:t xml:space="preserve"> 8), 100 </w:t>
      </w:r>
      <w:proofErr w:type="spellStart"/>
      <w:r w:rsidRPr="0080742C">
        <w:rPr>
          <w:sz w:val="24"/>
          <w:szCs w:val="24"/>
        </w:rPr>
        <w:t>м</w:t>
      </w:r>
      <w:proofErr w:type="gramStart"/>
      <w:r w:rsidRPr="0080742C">
        <w:rPr>
          <w:sz w:val="24"/>
          <w:szCs w:val="24"/>
        </w:rPr>
        <w:t>M</w:t>
      </w:r>
      <w:proofErr w:type="spellEnd"/>
      <w:proofErr w:type="gramEnd"/>
      <w:r w:rsidRPr="0080742C">
        <w:rPr>
          <w:sz w:val="24"/>
          <w:szCs w:val="24"/>
        </w:rPr>
        <w:t xml:space="preserve"> ЭДТА, </w:t>
      </w:r>
      <w:smartTag w:uri="urn:schemas-microsoft-com:office:smarttags" w:element="metricconverter">
        <w:smartTagPr>
          <w:attr w:name="ProductID" w:val="100 мМ"/>
        </w:smartTagPr>
        <w:r w:rsidRPr="0080742C">
          <w:rPr>
            <w:sz w:val="24"/>
            <w:szCs w:val="24"/>
          </w:rPr>
          <w:t xml:space="preserve">100 </w:t>
        </w:r>
        <w:proofErr w:type="spellStart"/>
        <w:r w:rsidRPr="0080742C">
          <w:rPr>
            <w:sz w:val="24"/>
            <w:szCs w:val="24"/>
          </w:rPr>
          <w:t>мМ</w:t>
        </w:r>
      </w:smartTag>
      <w:proofErr w:type="spellEnd"/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NaCl</w:t>
      </w:r>
      <w:proofErr w:type="spellEnd"/>
      <w:r w:rsidRPr="0080742C">
        <w:rPr>
          <w:sz w:val="24"/>
          <w:szCs w:val="24"/>
        </w:rPr>
        <w:t>, 1% SDS и инкубируют 10 мин при температуре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Д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 xml:space="preserve">бавляют 50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раствора </w:t>
      </w:r>
      <w:proofErr w:type="spellStart"/>
      <w:r w:rsidRPr="0080742C">
        <w:rPr>
          <w:sz w:val="24"/>
          <w:szCs w:val="24"/>
        </w:rPr>
        <w:t>протеиназы</w:t>
      </w:r>
      <w:proofErr w:type="spellEnd"/>
      <w:r w:rsidRPr="0080742C">
        <w:rPr>
          <w:sz w:val="24"/>
          <w:szCs w:val="24"/>
        </w:rPr>
        <w:t xml:space="preserve"> К (10 мг/мл), перемешивают и инкубируют в течение 1 ч при 56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Центрифугируют в течение 5 мин при 14 000 об</w:t>
      </w:r>
      <w:proofErr w:type="gramStart"/>
      <w:r w:rsidRPr="0080742C">
        <w:rPr>
          <w:sz w:val="24"/>
          <w:szCs w:val="24"/>
        </w:rPr>
        <w:t>.</w:t>
      </w:r>
      <w:proofErr w:type="gramEnd"/>
      <w:r w:rsidRPr="0080742C">
        <w:rPr>
          <w:sz w:val="24"/>
          <w:szCs w:val="24"/>
        </w:rPr>
        <w:t>/</w:t>
      </w:r>
      <w:proofErr w:type="gramStart"/>
      <w:r w:rsidRPr="0080742C">
        <w:rPr>
          <w:sz w:val="24"/>
          <w:szCs w:val="24"/>
        </w:rPr>
        <w:t>м</w:t>
      </w:r>
      <w:proofErr w:type="gramEnd"/>
      <w:r w:rsidRPr="0080742C">
        <w:rPr>
          <w:sz w:val="24"/>
          <w:szCs w:val="24"/>
        </w:rPr>
        <w:t xml:space="preserve">ин для осаждения нерастворенных частиц. </w:t>
      </w:r>
      <w:proofErr w:type="spellStart"/>
      <w:r w:rsidRPr="0080742C">
        <w:rPr>
          <w:sz w:val="24"/>
          <w:szCs w:val="24"/>
        </w:rPr>
        <w:t>С</w:t>
      </w:r>
      <w:r w:rsidRPr="0080742C">
        <w:rPr>
          <w:sz w:val="24"/>
          <w:szCs w:val="24"/>
        </w:rPr>
        <w:t>у</w:t>
      </w:r>
      <w:r w:rsidRPr="0080742C">
        <w:rPr>
          <w:sz w:val="24"/>
          <w:szCs w:val="24"/>
        </w:rPr>
        <w:t>пернатант</w:t>
      </w:r>
      <w:proofErr w:type="spellEnd"/>
      <w:r w:rsidRPr="0080742C">
        <w:rPr>
          <w:sz w:val="24"/>
          <w:szCs w:val="24"/>
        </w:rPr>
        <w:t xml:space="preserve"> переносят в стерильные пробирки объемом 1,5 мл, добавляют равный объем смеси фенол/хлороформ (</w:t>
      </w:r>
      <w:proofErr w:type="spellStart"/>
      <w:r w:rsidRPr="0080742C">
        <w:rPr>
          <w:sz w:val="24"/>
          <w:szCs w:val="24"/>
        </w:rPr>
        <w:t>pH</w:t>
      </w:r>
      <w:proofErr w:type="spellEnd"/>
      <w:r w:rsidRPr="0080742C">
        <w:rPr>
          <w:sz w:val="24"/>
          <w:szCs w:val="24"/>
        </w:rPr>
        <w:t> 8,0) и тщательно перемешив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 xml:space="preserve">ют. Затем центрифугируют в течение 5 мин при </w:t>
      </w:r>
      <w:smartTag w:uri="urn:schemas-microsoft-com:office:smarttags" w:element="metricconverter">
        <w:smartTagPr>
          <w:attr w:name="ProductID" w:val="10ﾠ000 g"/>
        </w:smartTagPr>
        <w:r w:rsidRPr="0080742C">
          <w:rPr>
            <w:sz w:val="24"/>
            <w:szCs w:val="24"/>
          </w:rPr>
          <w:t xml:space="preserve">10 000 </w:t>
        </w:r>
        <w:r w:rsidRPr="0080742C">
          <w:rPr>
            <w:sz w:val="24"/>
            <w:szCs w:val="24"/>
            <w:lang w:val="en-US"/>
          </w:rPr>
          <w:t>g</w:t>
        </w:r>
      </w:smartTag>
      <w:r w:rsidRPr="0080742C">
        <w:rPr>
          <w:sz w:val="24"/>
          <w:szCs w:val="24"/>
        </w:rPr>
        <w:t xml:space="preserve">. Переносят верхнюю водную фазу, содержащую раствор фенола и ДНК, в новую пробирку, добавляют </w:t>
      </w:r>
      <w:r w:rsidRPr="0080742C">
        <w:rPr>
          <w:sz w:val="24"/>
          <w:szCs w:val="24"/>
          <w:vertAlign w:val="superscript"/>
        </w:rPr>
        <w:t>1</w:t>
      </w:r>
      <w:r w:rsidRPr="0080742C">
        <w:rPr>
          <w:sz w:val="24"/>
          <w:szCs w:val="24"/>
        </w:rPr>
        <w:t>/</w:t>
      </w:r>
      <w:r w:rsidRPr="0080742C">
        <w:rPr>
          <w:sz w:val="24"/>
          <w:szCs w:val="24"/>
          <w:vertAlign w:val="subscript"/>
        </w:rPr>
        <w:t>10</w:t>
      </w:r>
      <w:r w:rsidRPr="0080742C">
        <w:rPr>
          <w:sz w:val="24"/>
          <w:szCs w:val="24"/>
        </w:rPr>
        <w:t xml:space="preserve"> по объему </w:t>
      </w:r>
      <w:smartTag w:uri="urn:schemas-microsoft-com:office:smarttags" w:element="metricconverter">
        <w:smartTagPr>
          <w:attr w:name="ProductID" w:val="3 М"/>
        </w:smartTagPr>
        <w:r w:rsidRPr="0080742C">
          <w:rPr>
            <w:sz w:val="24"/>
            <w:szCs w:val="24"/>
          </w:rPr>
          <w:t>3 М</w:t>
        </w:r>
      </w:smartTag>
      <w:r w:rsidRPr="0080742C">
        <w:rPr>
          <w:sz w:val="24"/>
          <w:szCs w:val="24"/>
        </w:rPr>
        <w:t xml:space="preserve"> ацет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та натрия (</w:t>
      </w:r>
      <w:proofErr w:type="spellStart"/>
      <w:r w:rsidRPr="0080742C">
        <w:rPr>
          <w:sz w:val="24"/>
          <w:szCs w:val="24"/>
        </w:rPr>
        <w:t>pH</w:t>
      </w:r>
      <w:proofErr w:type="spellEnd"/>
      <w:r w:rsidRPr="0080742C">
        <w:rPr>
          <w:sz w:val="24"/>
          <w:szCs w:val="24"/>
        </w:rPr>
        <w:t xml:space="preserve"> 5,5), 30—40 мкг РНК-носителя (1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раствора РНК-носителя с концентрацией 30—40 мкг/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) и равный объем </w:t>
      </w:r>
      <w:proofErr w:type="spellStart"/>
      <w:r w:rsidRPr="0080742C">
        <w:rPr>
          <w:sz w:val="24"/>
          <w:szCs w:val="24"/>
        </w:rPr>
        <w:t>изопропан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ла</w:t>
      </w:r>
      <w:proofErr w:type="spellEnd"/>
      <w:r w:rsidRPr="0080742C">
        <w:rPr>
          <w:sz w:val="24"/>
          <w:szCs w:val="24"/>
        </w:rPr>
        <w:t xml:space="preserve">. Затем центрифугируют в течение 15 мин при </w:t>
      </w:r>
      <w:smartTag w:uri="urn:schemas-microsoft-com:office:smarttags" w:element="metricconverter">
        <w:smartTagPr>
          <w:attr w:name="ProductID" w:val="10ﾠ000 g"/>
        </w:smartTagPr>
        <w:r w:rsidRPr="0080742C">
          <w:rPr>
            <w:sz w:val="24"/>
            <w:szCs w:val="24"/>
          </w:rPr>
          <w:t xml:space="preserve">10 000 </w:t>
        </w:r>
        <w:r w:rsidRPr="0080742C">
          <w:rPr>
            <w:sz w:val="24"/>
            <w:szCs w:val="24"/>
            <w:lang w:val="en-US"/>
          </w:rPr>
          <w:t>g</w:t>
        </w:r>
      </w:smartTag>
      <w:r w:rsidRPr="0080742C">
        <w:rPr>
          <w:sz w:val="24"/>
          <w:szCs w:val="24"/>
        </w:rPr>
        <w:t xml:space="preserve"> при 4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П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лученный осадок промывают добавлением 1 мл 70 %-</w:t>
      </w:r>
      <w:proofErr w:type="spellStart"/>
      <w:r w:rsidRPr="0080742C">
        <w:rPr>
          <w:sz w:val="24"/>
          <w:szCs w:val="24"/>
        </w:rPr>
        <w:t>го</w:t>
      </w:r>
      <w:proofErr w:type="spellEnd"/>
      <w:r w:rsidRPr="0080742C">
        <w:rPr>
          <w:sz w:val="24"/>
          <w:szCs w:val="24"/>
        </w:rPr>
        <w:t xml:space="preserve"> этанола и це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трифугированием в течение 5 мин при 14 000 об</w:t>
      </w:r>
      <w:proofErr w:type="gramStart"/>
      <w:r w:rsidRPr="0080742C">
        <w:rPr>
          <w:sz w:val="24"/>
          <w:szCs w:val="24"/>
        </w:rPr>
        <w:t>.</w:t>
      </w:r>
      <w:proofErr w:type="gramEnd"/>
      <w:r w:rsidRPr="0080742C">
        <w:rPr>
          <w:sz w:val="24"/>
          <w:szCs w:val="24"/>
        </w:rPr>
        <w:t>/</w:t>
      </w:r>
      <w:proofErr w:type="gramStart"/>
      <w:r w:rsidRPr="0080742C">
        <w:rPr>
          <w:sz w:val="24"/>
          <w:szCs w:val="24"/>
        </w:rPr>
        <w:t>м</w:t>
      </w:r>
      <w:proofErr w:type="gramEnd"/>
      <w:r w:rsidRPr="0080742C">
        <w:rPr>
          <w:sz w:val="24"/>
          <w:szCs w:val="24"/>
        </w:rPr>
        <w:t>ин при 4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 xml:space="preserve">С. 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После выполнения данных процедур материал считается обеззараже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ным.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3.2. Обработка исследуемого материала, инфицированного вирус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ми I—II групп патогенности (кроме вируса оспы), содержащего инфе</w:t>
      </w:r>
      <w:r w:rsidRPr="0080742C">
        <w:rPr>
          <w:sz w:val="24"/>
          <w:szCs w:val="24"/>
        </w:rPr>
        <w:t>к</w:t>
      </w:r>
      <w:r w:rsidRPr="0080742C">
        <w:rPr>
          <w:sz w:val="24"/>
          <w:szCs w:val="24"/>
        </w:rPr>
        <w:t>ционную (позитивную) РНК, проводится следующим спос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>бом:</w:t>
      </w:r>
    </w:p>
    <w:p w:rsidR="0080742C" w:rsidRPr="0080742C" w:rsidRDefault="0080742C" w:rsidP="0080742C">
      <w:pPr>
        <w:pStyle w:val="spisok"/>
        <w:rPr>
          <w:sz w:val="24"/>
          <w:szCs w:val="24"/>
        </w:rPr>
      </w:pPr>
      <w:r w:rsidRPr="0080742C">
        <w:rPr>
          <w:sz w:val="24"/>
          <w:szCs w:val="24"/>
        </w:rPr>
        <w:t xml:space="preserve">материал (100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>) помещают в пробирку объемом 1,5 мл, доба</w:t>
      </w:r>
      <w:r w:rsidRPr="0080742C">
        <w:rPr>
          <w:sz w:val="24"/>
          <w:szCs w:val="24"/>
        </w:rPr>
        <w:t>в</w:t>
      </w:r>
      <w:r w:rsidRPr="0080742C">
        <w:rPr>
          <w:sz w:val="24"/>
          <w:szCs w:val="24"/>
        </w:rPr>
        <w:t xml:space="preserve">ляют 500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лизирующего</w:t>
      </w:r>
      <w:proofErr w:type="spellEnd"/>
      <w:r w:rsidRPr="0080742C">
        <w:rPr>
          <w:sz w:val="24"/>
          <w:szCs w:val="24"/>
        </w:rPr>
        <w:t xml:space="preserve"> буфера на основе </w:t>
      </w:r>
      <w:smartTag w:uri="urn:schemas-microsoft-com:office:smarttags" w:element="metricconverter">
        <w:smartTagPr>
          <w:attr w:name="ProductID" w:val="6 М"/>
        </w:smartTagPr>
        <w:r w:rsidRPr="0080742C">
          <w:rPr>
            <w:sz w:val="24"/>
            <w:szCs w:val="24"/>
          </w:rPr>
          <w:t>6 М</w:t>
        </w:r>
      </w:smartTag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гуанидинизотиоци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ната</w:t>
      </w:r>
      <w:proofErr w:type="spellEnd"/>
      <w:r w:rsidRPr="0080742C">
        <w:rPr>
          <w:sz w:val="24"/>
          <w:szCs w:val="24"/>
        </w:rPr>
        <w:t xml:space="preserve"> и фенола (1</w:t>
      </w:r>
      <w:proofErr w:type="gramStart"/>
      <w:r w:rsidRPr="0080742C">
        <w:rPr>
          <w:sz w:val="24"/>
          <w:szCs w:val="24"/>
        </w:rPr>
        <w:t> :</w:t>
      </w:r>
      <w:proofErr w:type="gramEnd"/>
      <w:r w:rsidRPr="0080742C">
        <w:rPr>
          <w:sz w:val="24"/>
          <w:szCs w:val="24"/>
        </w:rPr>
        <w:t> 1) и инкубируют 20 мин при температуре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 xml:space="preserve">С. Затем выделяют РНК, используя метод </w:t>
      </w:r>
      <w:proofErr w:type="spellStart"/>
      <w:r w:rsidRPr="0080742C">
        <w:rPr>
          <w:sz w:val="24"/>
          <w:szCs w:val="24"/>
        </w:rPr>
        <w:t>нуклеосорбции</w:t>
      </w:r>
      <w:proofErr w:type="spellEnd"/>
      <w:r w:rsidRPr="0080742C">
        <w:rPr>
          <w:sz w:val="24"/>
          <w:szCs w:val="24"/>
        </w:rPr>
        <w:t xml:space="preserve"> на силикагеле, начиная с этапа добавления сорбента, либо метод осаждения РНК этан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 xml:space="preserve">лом в присутствии </w:t>
      </w:r>
      <w:smartTag w:uri="urn:schemas-microsoft-com:office:smarttags" w:element="metricconverter">
        <w:smartTagPr>
          <w:attr w:name="ProductID" w:val="0,3 М"/>
        </w:smartTagPr>
        <w:r w:rsidRPr="0080742C">
          <w:rPr>
            <w:sz w:val="24"/>
            <w:szCs w:val="24"/>
          </w:rPr>
          <w:t>0,3 М</w:t>
        </w:r>
      </w:smartTag>
      <w:r w:rsidRPr="0080742C">
        <w:rPr>
          <w:sz w:val="24"/>
          <w:szCs w:val="24"/>
        </w:rPr>
        <w:t xml:space="preserve"> ацетата натрия. Обратную транскрипцию в</w:t>
      </w:r>
      <w:r w:rsidRPr="0080742C">
        <w:rPr>
          <w:sz w:val="24"/>
          <w:szCs w:val="24"/>
        </w:rPr>
        <w:t>ы</w:t>
      </w:r>
      <w:r w:rsidRPr="0080742C">
        <w:rPr>
          <w:sz w:val="24"/>
          <w:szCs w:val="24"/>
        </w:rPr>
        <w:t>полняют в соответствии с инструкцией по применению к набору реаге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 xml:space="preserve">тов. Затем в образцы с </w:t>
      </w:r>
      <w:proofErr w:type="spellStart"/>
      <w:r w:rsidRPr="0080742C">
        <w:rPr>
          <w:sz w:val="24"/>
          <w:szCs w:val="24"/>
        </w:rPr>
        <w:t>кДНК</w:t>
      </w:r>
      <w:proofErr w:type="spellEnd"/>
      <w:r w:rsidRPr="0080742C">
        <w:rPr>
          <w:sz w:val="24"/>
          <w:szCs w:val="24"/>
        </w:rPr>
        <w:t xml:space="preserve"> добавляют </w:t>
      </w:r>
      <w:proofErr w:type="spellStart"/>
      <w:r w:rsidRPr="0080742C">
        <w:rPr>
          <w:sz w:val="24"/>
          <w:szCs w:val="24"/>
        </w:rPr>
        <w:t>РНКазу</w:t>
      </w:r>
      <w:proofErr w:type="spellEnd"/>
      <w:proofErr w:type="gramStart"/>
      <w:r w:rsidRPr="0080742C">
        <w:rPr>
          <w:sz w:val="24"/>
          <w:szCs w:val="24"/>
        </w:rPr>
        <w:t xml:space="preserve"> А</w:t>
      </w:r>
      <w:proofErr w:type="gramEnd"/>
      <w:r w:rsidRPr="0080742C">
        <w:rPr>
          <w:sz w:val="24"/>
          <w:szCs w:val="24"/>
        </w:rPr>
        <w:t xml:space="preserve"> до конечной концентрации 25 мкг/мл. После выполнения данных процедур материал считается обеззараже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ным.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3.3. Обработка исследуемого материала, инфицированного (под</w:t>
      </w:r>
      <w:r w:rsidRPr="0080742C">
        <w:rPr>
          <w:sz w:val="24"/>
          <w:szCs w:val="24"/>
        </w:rPr>
        <w:t>о</w:t>
      </w:r>
      <w:r w:rsidRPr="0080742C">
        <w:rPr>
          <w:sz w:val="24"/>
          <w:szCs w:val="24"/>
        </w:rPr>
        <w:t xml:space="preserve">зрительного на инфицирование) вирусами </w:t>
      </w:r>
      <w:r w:rsidRPr="0080742C">
        <w:rPr>
          <w:sz w:val="24"/>
          <w:szCs w:val="24"/>
          <w:lang w:val="en-US"/>
        </w:rPr>
        <w:t>I</w:t>
      </w:r>
      <w:r w:rsidRPr="0080742C">
        <w:rPr>
          <w:sz w:val="24"/>
          <w:szCs w:val="24"/>
        </w:rPr>
        <w:t>—</w:t>
      </w:r>
      <w:r w:rsidRPr="0080742C">
        <w:rPr>
          <w:sz w:val="24"/>
          <w:szCs w:val="24"/>
          <w:lang w:val="en-US"/>
        </w:rPr>
        <w:t>II</w:t>
      </w:r>
      <w:r w:rsidRPr="0080742C">
        <w:rPr>
          <w:sz w:val="24"/>
          <w:szCs w:val="24"/>
        </w:rPr>
        <w:t xml:space="preserve"> групп патогенности, содержащих неинфекционную (негативную) РНК или ДНК, проводится следующим обр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зом:</w:t>
      </w:r>
    </w:p>
    <w:p w:rsidR="0080742C" w:rsidRPr="0080742C" w:rsidRDefault="0080742C" w:rsidP="0080742C">
      <w:pPr>
        <w:pStyle w:val="spisok"/>
        <w:rPr>
          <w:sz w:val="24"/>
          <w:szCs w:val="24"/>
        </w:rPr>
      </w:pPr>
      <w:r w:rsidRPr="0080742C">
        <w:rPr>
          <w:sz w:val="24"/>
          <w:szCs w:val="24"/>
        </w:rPr>
        <w:t xml:space="preserve">материал (100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>) помещают в пробирку объемом 1,5 мл, доба</w:t>
      </w:r>
      <w:r w:rsidRPr="0080742C">
        <w:rPr>
          <w:sz w:val="24"/>
          <w:szCs w:val="24"/>
        </w:rPr>
        <w:t>в</w:t>
      </w:r>
      <w:r w:rsidRPr="0080742C">
        <w:rPr>
          <w:sz w:val="24"/>
          <w:szCs w:val="24"/>
        </w:rPr>
        <w:t xml:space="preserve">ляют 500 </w:t>
      </w:r>
      <w:proofErr w:type="spellStart"/>
      <w:r w:rsidRPr="0080742C">
        <w:rPr>
          <w:sz w:val="24"/>
          <w:szCs w:val="24"/>
        </w:rPr>
        <w:t>мкл</w:t>
      </w:r>
      <w:proofErr w:type="spellEnd"/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лизирующего</w:t>
      </w:r>
      <w:proofErr w:type="spellEnd"/>
      <w:r w:rsidRPr="0080742C">
        <w:rPr>
          <w:sz w:val="24"/>
          <w:szCs w:val="24"/>
        </w:rPr>
        <w:t xml:space="preserve"> буфера на основе </w:t>
      </w:r>
      <w:smartTag w:uri="urn:schemas-microsoft-com:office:smarttags" w:element="metricconverter">
        <w:smartTagPr>
          <w:attr w:name="ProductID" w:val="6 М"/>
        </w:smartTagPr>
        <w:r w:rsidRPr="0080742C">
          <w:rPr>
            <w:sz w:val="24"/>
            <w:szCs w:val="24"/>
          </w:rPr>
          <w:t>6 М</w:t>
        </w:r>
      </w:smartTag>
      <w:r w:rsidRPr="0080742C">
        <w:rPr>
          <w:sz w:val="24"/>
          <w:szCs w:val="24"/>
        </w:rPr>
        <w:t xml:space="preserve"> </w:t>
      </w:r>
      <w:proofErr w:type="spellStart"/>
      <w:r w:rsidRPr="0080742C">
        <w:rPr>
          <w:sz w:val="24"/>
          <w:szCs w:val="24"/>
        </w:rPr>
        <w:t>гуанидинизотиоци</w:t>
      </w:r>
      <w:r w:rsidRPr="0080742C">
        <w:rPr>
          <w:sz w:val="24"/>
          <w:szCs w:val="24"/>
        </w:rPr>
        <w:t>а</w:t>
      </w:r>
      <w:r w:rsidRPr="0080742C">
        <w:rPr>
          <w:sz w:val="24"/>
          <w:szCs w:val="24"/>
        </w:rPr>
        <w:t>ната</w:t>
      </w:r>
      <w:proofErr w:type="spellEnd"/>
      <w:r w:rsidRPr="0080742C">
        <w:rPr>
          <w:sz w:val="24"/>
          <w:szCs w:val="24"/>
        </w:rPr>
        <w:t xml:space="preserve"> и фенола (1</w:t>
      </w:r>
      <w:proofErr w:type="gramStart"/>
      <w:r w:rsidRPr="0080742C">
        <w:rPr>
          <w:sz w:val="24"/>
          <w:szCs w:val="24"/>
        </w:rPr>
        <w:t> :</w:t>
      </w:r>
      <w:proofErr w:type="gramEnd"/>
      <w:r w:rsidRPr="0080742C">
        <w:rPr>
          <w:sz w:val="24"/>
          <w:szCs w:val="24"/>
        </w:rPr>
        <w:t> 1) и инкубируют 20 мин при температуре 65 </w:t>
      </w:r>
      <w:r w:rsidRPr="0080742C">
        <w:rPr>
          <w:sz w:val="24"/>
          <w:szCs w:val="24"/>
        </w:rPr>
        <w:sym w:font="Symbol" w:char="F0B0"/>
      </w:r>
      <w:r w:rsidRPr="0080742C">
        <w:rPr>
          <w:sz w:val="24"/>
          <w:szCs w:val="24"/>
        </w:rPr>
        <w:t>С. После выполнения данных процедур материал считается обеззараже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ным.</w:t>
      </w:r>
    </w:p>
    <w:p w:rsidR="0080742C" w:rsidRPr="0080742C" w:rsidRDefault="0080742C" w:rsidP="0080742C">
      <w:pPr>
        <w:pStyle w:val="bodytext"/>
        <w:rPr>
          <w:b/>
          <w:sz w:val="24"/>
          <w:szCs w:val="24"/>
        </w:rPr>
      </w:pPr>
      <w:r w:rsidRPr="0080742C">
        <w:rPr>
          <w:sz w:val="24"/>
          <w:szCs w:val="24"/>
        </w:rPr>
        <w:t xml:space="preserve">3.4. Обработка исследуемого материала, подозрительного на инфицирование </w:t>
      </w:r>
      <w:proofErr w:type="spellStart"/>
      <w:r w:rsidRPr="0080742C">
        <w:rPr>
          <w:sz w:val="24"/>
          <w:szCs w:val="24"/>
        </w:rPr>
        <w:t>высокопатоге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ным</w:t>
      </w:r>
      <w:proofErr w:type="spellEnd"/>
      <w:r w:rsidRPr="0080742C">
        <w:rPr>
          <w:sz w:val="24"/>
          <w:szCs w:val="24"/>
        </w:rPr>
        <w:t xml:space="preserve"> неизвестным возбудителем, проводится в соответствии с </w:t>
      </w:r>
      <w:proofErr w:type="spellStart"/>
      <w:r w:rsidRPr="0080742C">
        <w:rPr>
          <w:sz w:val="24"/>
          <w:szCs w:val="24"/>
        </w:rPr>
        <w:t>п.п</w:t>
      </w:r>
      <w:proofErr w:type="spellEnd"/>
      <w:r w:rsidRPr="0080742C">
        <w:rPr>
          <w:sz w:val="24"/>
          <w:szCs w:val="24"/>
        </w:rPr>
        <w:t>. 2.3 и (или) 3.1. Работа с таким мат</w:t>
      </w:r>
      <w:r w:rsidRPr="0080742C">
        <w:rPr>
          <w:sz w:val="24"/>
          <w:szCs w:val="24"/>
        </w:rPr>
        <w:t>е</w:t>
      </w:r>
      <w:r w:rsidRPr="0080742C">
        <w:rPr>
          <w:sz w:val="24"/>
          <w:szCs w:val="24"/>
        </w:rPr>
        <w:t>риалом на всех этапах исследования осуществляется с применением специальных средств индивидуальной защ</w:t>
      </w:r>
      <w:r w:rsidRPr="0080742C">
        <w:rPr>
          <w:sz w:val="24"/>
          <w:szCs w:val="24"/>
        </w:rPr>
        <w:t>и</w:t>
      </w:r>
      <w:r w:rsidRPr="0080742C">
        <w:rPr>
          <w:sz w:val="24"/>
          <w:szCs w:val="24"/>
        </w:rPr>
        <w:t xml:space="preserve">ты согласно прилож. 4.  </w:t>
      </w:r>
    </w:p>
    <w:p w:rsidR="0080742C" w:rsidRPr="0080742C" w:rsidRDefault="0080742C" w:rsidP="0080742C">
      <w:pPr>
        <w:pStyle w:val="bodytext"/>
        <w:rPr>
          <w:sz w:val="24"/>
          <w:szCs w:val="24"/>
        </w:rPr>
      </w:pPr>
      <w:r w:rsidRPr="0080742C">
        <w:rPr>
          <w:sz w:val="24"/>
          <w:szCs w:val="24"/>
        </w:rPr>
        <w:t>4. В Рабочие зоны 2, 3, 4-1 и 4-2 передаются только обработанные пробы, не содержащие и</w:t>
      </w:r>
      <w:r w:rsidRPr="0080742C">
        <w:rPr>
          <w:sz w:val="24"/>
          <w:szCs w:val="24"/>
        </w:rPr>
        <w:t>н</w:t>
      </w:r>
      <w:r w:rsidRPr="0080742C">
        <w:rPr>
          <w:sz w:val="24"/>
          <w:szCs w:val="24"/>
        </w:rPr>
        <w:t>фекционный материал.</w:t>
      </w:r>
    </w:p>
    <w:p w:rsidR="0080742C" w:rsidRPr="0080742C" w:rsidRDefault="0080742C" w:rsidP="0080742C">
      <w:pPr>
        <w:spacing w:after="0"/>
        <w:jc w:val="both"/>
        <w:rPr>
          <w:rFonts w:ascii="Times New Roman" w:hAnsi="Times New Roman"/>
          <w:b/>
        </w:rPr>
      </w:pPr>
      <w:r w:rsidRPr="0080742C">
        <w:rPr>
          <w:rFonts w:ascii="Times New Roman" w:hAnsi="Times New Roman"/>
        </w:rPr>
        <w:lastRenderedPageBreak/>
        <w:t xml:space="preserve">5. Обеззараживание остатков исследуемого материала в рабочей </w:t>
      </w:r>
      <w:r w:rsidRPr="0080742C">
        <w:rPr>
          <w:rFonts w:ascii="Times New Roman" w:hAnsi="Times New Roman"/>
          <w:spacing w:val="-4"/>
        </w:rPr>
        <w:t>зоне 1 осуществляют в соотве</w:t>
      </w:r>
      <w:r w:rsidRPr="0080742C">
        <w:rPr>
          <w:rFonts w:ascii="Times New Roman" w:hAnsi="Times New Roman"/>
          <w:spacing w:val="-4"/>
        </w:rPr>
        <w:t>т</w:t>
      </w:r>
      <w:r w:rsidRPr="0080742C">
        <w:rPr>
          <w:rFonts w:ascii="Times New Roman" w:hAnsi="Times New Roman"/>
          <w:spacing w:val="-4"/>
        </w:rPr>
        <w:t>ствии с СП 1.3.1285—03 и СП 1.3.2322—08</w:t>
      </w:r>
    </w:p>
    <w:p w:rsidR="00B22673" w:rsidRDefault="00B22673" w:rsidP="0080742C">
      <w:pPr>
        <w:snapToGrid w:val="0"/>
        <w:spacing w:after="0" w:line="240" w:lineRule="auto"/>
        <w:ind w:left="26" w:firstLineChars="400" w:firstLine="964"/>
        <w:rPr>
          <w:rFonts w:ascii="Times New Roman" w:hAnsi="Times New Roman"/>
          <w:b/>
        </w:rPr>
      </w:pPr>
    </w:p>
    <w:p w:rsidR="00F45354" w:rsidRDefault="00F45354" w:rsidP="00F45354">
      <w:pPr>
        <w:pStyle w:val="a3"/>
        <w:spacing w:after="0"/>
        <w:ind w:left="0" w:firstLine="746"/>
        <w:rPr>
          <w:rFonts w:ascii="Times New Roman" w:hAnsi="Times New Roman"/>
          <w:b/>
        </w:rPr>
      </w:pPr>
      <w:r w:rsidRPr="00F45354">
        <w:rPr>
          <w:rFonts w:ascii="Times New Roman" w:hAnsi="Times New Roman"/>
          <w:b/>
        </w:rPr>
        <w:t xml:space="preserve">4. </w:t>
      </w:r>
      <w:r w:rsidRPr="00F45354">
        <w:rPr>
          <w:rFonts w:ascii="Times New Roman" w:hAnsi="Times New Roman"/>
          <w:b/>
        </w:rPr>
        <w:t>Выбор типа защитного костюма (рабочей одежды и средств индивидуальной защиты)  в зависимости от вида возбудителя, рабочей зоны, оснащения ее боксами биологической безопасности в соответствии с действующими СП (</w:t>
      </w:r>
      <w:r w:rsidRPr="00F45354">
        <w:rPr>
          <w:rFonts w:ascii="Times New Roman" w:hAnsi="Times New Roman"/>
          <w:b/>
          <w:color w:val="000000"/>
        </w:rPr>
        <w:t>МУ 1.3. 2569-09</w:t>
      </w:r>
      <w:r w:rsidRPr="00F45354">
        <w:rPr>
          <w:rFonts w:ascii="Times New Roman" w:hAnsi="Times New Roman"/>
          <w:b/>
        </w:rPr>
        <w:t xml:space="preserve">, Приложение 4).  </w:t>
      </w:r>
    </w:p>
    <w:p w:rsidR="00F45354" w:rsidRDefault="00F45354" w:rsidP="00F45354">
      <w:pPr>
        <w:pStyle w:val="a3"/>
        <w:spacing w:after="0"/>
        <w:ind w:left="0" w:firstLine="746"/>
        <w:rPr>
          <w:rFonts w:ascii="Times New Roman" w:hAnsi="Times New Roman"/>
          <w:b/>
        </w:rPr>
      </w:pPr>
    </w:p>
    <w:tbl>
      <w:tblPr>
        <w:tblW w:w="9639" w:type="dxa"/>
        <w:tblInd w:w="-11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431"/>
        <w:gridCol w:w="905"/>
        <w:gridCol w:w="1059"/>
        <w:gridCol w:w="850"/>
        <w:gridCol w:w="992"/>
        <w:gridCol w:w="1985"/>
        <w:gridCol w:w="1417"/>
      </w:tblGrid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Рабочие зоны</w:t>
            </w:r>
            <w:r w:rsidRPr="00552958">
              <w:rPr>
                <w:sz w:val="16"/>
                <w:szCs w:val="16"/>
                <w:lang w:val="en-US"/>
              </w:rPr>
              <w:t xml:space="preserve"> (</w:t>
            </w:r>
            <w:r w:rsidRPr="00552958">
              <w:rPr>
                <w:sz w:val="16"/>
                <w:szCs w:val="16"/>
              </w:rPr>
              <w:t>помещ</w:t>
            </w:r>
            <w:r w:rsidRPr="00552958">
              <w:rPr>
                <w:sz w:val="16"/>
                <w:szCs w:val="16"/>
              </w:rPr>
              <w:t>е</w:t>
            </w:r>
            <w:r w:rsidRPr="00552958">
              <w:rPr>
                <w:sz w:val="16"/>
                <w:szCs w:val="16"/>
              </w:rPr>
              <w:t>ния)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Вирусы</w:t>
            </w:r>
            <w:r w:rsidRPr="00552958">
              <w:rPr>
                <w:sz w:val="16"/>
                <w:szCs w:val="16"/>
              </w:rPr>
              <w:br/>
              <w:t>I гру</w:t>
            </w:r>
            <w:r w:rsidRPr="00552958">
              <w:rPr>
                <w:sz w:val="16"/>
                <w:szCs w:val="16"/>
              </w:rPr>
              <w:t>п</w:t>
            </w:r>
            <w:r w:rsidRPr="00552958">
              <w:rPr>
                <w:sz w:val="16"/>
                <w:szCs w:val="16"/>
              </w:rPr>
              <w:t>пы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Вирусы II гру</w:t>
            </w:r>
            <w:r w:rsidRPr="00552958">
              <w:rPr>
                <w:sz w:val="16"/>
                <w:szCs w:val="16"/>
              </w:rPr>
              <w:t>п</w:t>
            </w:r>
            <w:r w:rsidRPr="00552958">
              <w:rPr>
                <w:sz w:val="16"/>
                <w:szCs w:val="16"/>
              </w:rPr>
              <w:t>пы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Чума, сап, </w:t>
            </w:r>
            <w:r w:rsidRPr="00552958">
              <w:rPr>
                <w:sz w:val="16"/>
                <w:szCs w:val="16"/>
              </w:rPr>
              <w:br/>
            </w:r>
            <w:proofErr w:type="spellStart"/>
            <w:r w:rsidRPr="00552958">
              <w:rPr>
                <w:sz w:val="16"/>
                <w:szCs w:val="16"/>
              </w:rPr>
              <w:t>мелио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доз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Глуб</w:t>
            </w:r>
            <w:r w:rsidRPr="00552958">
              <w:rPr>
                <w:sz w:val="16"/>
                <w:szCs w:val="16"/>
              </w:rPr>
              <w:t>о</w:t>
            </w:r>
            <w:r w:rsidRPr="00552958">
              <w:rPr>
                <w:sz w:val="16"/>
                <w:szCs w:val="16"/>
              </w:rPr>
              <w:t xml:space="preserve">кие   </w:t>
            </w:r>
            <w:r w:rsidRPr="00552958">
              <w:rPr>
                <w:sz w:val="16"/>
                <w:szCs w:val="16"/>
              </w:rPr>
              <w:br/>
              <w:t>микозы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Бруцеллез, туляремия, сибирская я</w:t>
            </w:r>
            <w:r w:rsidRPr="00552958">
              <w:rPr>
                <w:sz w:val="16"/>
                <w:szCs w:val="16"/>
              </w:rPr>
              <w:t>з</w:t>
            </w:r>
            <w:r w:rsidRPr="00552958"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,</w:t>
            </w:r>
            <w:r w:rsidRPr="00552958">
              <w:rPr>
                <w:sz w:val="16"/>
                <w:szCs w:val="16"/>
              </w:rPr>
              <w:t xml:space="preserve"> холера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Риккетси</w:t>
            </w:r>
            <w:r w:rsidRPr="00552958">
              <w:rPr>
                <w:sz w:val="16"/>
                <w:szCs w:val="16"/>
              </w:rPr>
              <w:t>о</w:t>
            </w:r>
            <w:r w:rsidRPr="00552958">
              <w:rPr>
                <w:sz w:val="16"/>
                <w:szCs w:val="16"/>
              </w:rPr>
              <w:t>зы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7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I. Блок для работы с инфицир</w:t>
            </w:r>
            <w:r>
              <w:rPr>
                <w:i/>
                <w:sz w:val="16"/>
                <w:szCs w:val="16"/>
              </w:rPr>
              <w:t>ованными животными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ind w:left="17"/>
              <w:jc w:val="left"/>
              <w:rPr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Рабочая зона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552958">
              <w:rPr>
                <w:i/>
                <w:sz w:val="16"/>
                <w:szCs w:val="16"/>
              </w:rPr>
              <w:t>1</w:t>
            </w:r>
            <w:r w:rsidRPr="00552958">
              <w:rPr>
                <w:sz w:val="16"/>
                <w:szCs w:val="16"/>
              </w:rPr>
              <w:br/>
              <w:t>Прием, разбор, первичная обработка клиничес</w:t>
            </w:r>
            <w:r>
              <w:rPr>
                <w:sz w:val="16"/>
                <w:szCs w:val="16"/>
              </w:rPr>
              <w:softHyphen/>
            </w:r>
            <w:r w:rsidRPr="00552958">
              <w:rPr>
                <w:sz w:val="16"/>
                <w:szCs w:val="16"/>
              </w:rPr>
              <w:t>кого матери</w:t>
            </w:r>
            <w:r w:rsidRPr="00552958">
              <w:rPr>
                <w:sz w:val="16"/>
                <w:szCs w:val="16"/>
              </w:rPr>
              <w:t>а</w:t>
            </w:r>
            <w:r w:rsidRPr="00552958">
              <w:rPr>
                <w:sz w:val="16"/>
                <w:szCs w:val="16"/>
              </w:rPr>
              <w:t>ла от больных с неясной этиологией (не исключая наличия в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 xml:space="preserve">русов </w:t>
            </w:r>
            <w:r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t>I гру</w:t>
            </w:r>
            <w:r w:rsidRPr="00552958">
              <w:rPr>
                <w:sz w:val="16"/>
                <w:szCs w:val="16"/>
              </w:rPr>
              <w:t>п</w:t>
            </w:r>
            <w:r w:rsidRPr="00552958">
              <w:rPr>
                <w:sz w:val="16"/>
                <w:szCs w:val="16"/>
              </w:rPr>
              <w:t xml:space="preserve">пы)  </w:t>
            </w:r>
          </w:p>
        </w:tc>
        <w:tc>
          <w:tcPr>
            <w:tcW w:w="7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ind w:left="1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552958">
              <w:rPr>
                <w:sz w:val="16"/>
                <w:szCs w:val="16"/>
              </w:rPr>
              <w:t>аксимально изолированны</w:t>
            </w:r>
            <w:r>
              <w:rPr>
                <w:sz w:val="16"/>
                <w:szCs w:val="16"/>
              </w:rPr>
              <w:t>е</w:t>
            </w:r>
            <w:r w:rsidRPr="00552958">
              <w:rPr>
                <w:sz w:val="16"/>
                <w:szCs w:val="16"/>
              </w:rPr>
              <w:t xml:space="preserve"> лаборатори</w:t>
            </w:r>
            <w:r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 xml:space="preserve"> (ИСИ</w:t>
            </w:r>
            <w:r>
              <w:rPr>
                <w:sz w:val="16"/>
                <w:szCs w:val="16"/>
              </w:rPr>
              <w:t>З</w:t>
            </w:r>
            <w:proofErr w:type="gramStart"/>
            <w:r>
              <w:rPr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sz w:val="16"/>
                <w:szCs w:val="16"/>
                <w:vertAlign w:val="superscript"/>
              </w:rPr>
              <w:t>)</w:t>
            </w:r>
            <w:r w:rsidRPr="00552958">
              <w:rPr>
                <w:sz w:val="16"/>
                <w:szCs w:val="16"/>
              </w:rPr>
              <w:t>) или боксы биол</w:t>
            </w:r>
            <w:r w:rsidRPr="00552958">
              <w:rPr>
                <w:sz w:val="16"/>
                <w:szCs w:val="16"/>
              </w:rPr>
              <w:t>о</w:t>
            </w:r>
            <w:r w:rsidRPr="00552958">
              <w:rPr>
                <w:sz w:val="16"/>
                <w:szCs w:val="16"/>
              </w:rPr>
              <w:t xml:space="preserve">гической безопасности (БББ) III класса + защитная </w:t>
            </w:r>
            <w:r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t>оде</w:t>
            </w:r>
            <w:r w:rsidRPr="00552958">
              <w:rPr>
                <w:sz w:val="16"/>
                <w:szCs w:val="16"/>
              </w:rPr>
              <w:t>ж</w:t>
            </w:r>
            <w:r w:rsidRPr="00552958">
              <w:rPr>
                <w:sz w:val="16"/>
                <w:szCs w:val="16"/>
              </w:rPr>
              <w:t>да IV типа + РП</w:t>
            </w:r>
            <w:r w:rsidRPr="00C6326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>)</w:t>
            </w:r>
            <w:r w:rsidRPr="00552958">
              <w:rPr>
                <w:sz w:val="16"/>
                <w:szCs w:val="16"/>
              </w:rPr>
              <w:t xml:space="preserve"> 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 xml:space="preserve">II. </w:t>
            </w:r>
            <w:proofErr w:type="spellStart"/>
            <w:r w:rsidRPr="00552958">
              <w:rPr>
                <w:i/>
                <w:sz w:val="16"/>
                <w:szCs w:val="16"/>
              </w:rPr>
              <w:t>Боксированные</w:t>
            </w:r>
            <w:proofErr w:type="spellEnd"/>
            <w:r w:rsidRPr="00552958">
              <w:rPr>
                <w:i/>
                <w:sz w:val="16"/>
                <w:szCs w:val="16"/>
              </w:rPr>
              <w:t xml:space="preserve"> помещения лаборатории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C6326A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C6326A">
              <w:rPr>
                <w:i/>
                <w:sz w:val="16"/>
                <w:szCs w:val="16"/>
              </w:rPr>
              <w:t>Р</w:t>
            </w:r>
            <w:r w:rsidRPr="00C6326A">
              <w:rPr>
                <w:i/>
                <w:sz w:val="16"/>
                <w:szCs w:val="16"/>
              </w:rPr>
              <w:t>а</w:t>
            </w:r>
            <w:r w:rsidRPr="00C6326A">
              <w:rPr>
                <w:i/>
                <w:sz w:val="16"/>
                <w:szCs w:val="16"/>
              </w:rPr>
              <w:t>бочая зона 1</w:t>
            </w:r>
          </w:p>
        </w:tc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ИСИЗ или БББ III класса + </w:t>
            </w:r>
            <w:r w:rsidRPr="00552958">
              <w:rPr>
                <w:sz w:val="16"/>
                <w:szCs w:val="16"/>
              </w:rPr>
              <w:br/>
              <w:t>IV тип + РП</w:t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бокс биологической безопасности II класса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+ РП </w:t>
            </w:r>
            <w:r w:rsidRPr="00552958">
              <w:rPr>
                <w:sz w:val="16"/>
                <w:szCs w:val="16"/>
              </w:rPr>
              <w:br/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52958">
              <w:rPr>
                <w:sz w:val="16"/>
                <w:szCs w:val="16"/>
              </w:rPr>
              <w:t>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 xml:space="preserve">ратор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+ РП </w:t>
            </w:r>
            <w:r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+ РП </w:t>
            </w:r>
            <w:r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+ РП </w:t>
            </w:r>
            <w:r w:rsidRPr="00552958">
              <w:rPr>
                <w:sz w:val="16"/>
                <w:szCs w:val="16"/>
              </w:rPr>
              <w:br/>
              <w:t>+ респир</w:t>
            </w:r>
            <w:r w:rsidRPr="00552958">
              <w:rPr>
                <w:sz w:val="16"/>
                <w:szCs w:val="16"/>
              </w:rPr>
              <w:t>а</w:t>
            </w:r>
            <w:r w:rsidRPr="00552958">
              <w:rPr>
                <w:sz w:val="16"/>
                <w:szCs w:val="16"/>
              </w:rPr>
              <w:t>тор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бокс биологической безопасности III класса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C6326A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C6326A">
              <w:rPr>
                <w:i/>
                <w:sz w:val="16"/>
                <w:szCs w:val="16"/>
              </w:rPr>
              <w:t xml:space="preserve">Рабочая зона 2 </w:t>
            </w:r>
          </w:p>
        </w:tc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ИСИЗ или </w:t>
            </w:r>
            <w:r w:rsidRPr="00552958">
              <w:rPr>
                <w:sz w:val="16"/>
                <w:szCs w:val="16"/>
              </w:rPr>
              <w:br/>
              <w:t>БББ III кла</w:t>
            </w:r>
            <w:r w:rsidRPr="00552958">
              <w:rPr>
                <w:sz w:val="16"/>
                <w:szCs w:val="16"/>
              </w:rPr>
              <w:t>с</w:t>
            </w:r>
            <w:r w:rsidRPr="00552958">
              <w:rPr>
                <w:sz w:val="16"/>
                <w:szCs w:val="16"/>
              </w:rPr>
              <w:t>са + IV тип + РП</w:t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бокс биологической безопасности II класса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 xml:space="preserve">ратор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  <w:r w:rsidRPr="00552958">
              <w:rPr>
                <w:sz w:val="16"/>
                <w:szCs w:val="16"/>
              </w:rPr>
              <w:br/>
              <w:t>+ респир</w:t>
            </w:r>
            <w:r w:rsidRPr="00552958">
              <w:rPr>
                <w:sz w:val="16"/>
                <w:szCs w:val="16"/>
              </w:rPr>
              <w:t>а</w:t>
            </w:r>
            <w:r w:rsidRPr="00552958">
              <w:rPr>
                <w:sz w:val="16"/>
                <w:szCs w:val="16"/>
              </w:rPr>
              <w:t xml:space="preserve">тор 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бокс биологической безопасности III класса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552958">
              <w:rPr>
                <w:sz w:val="16"/>
                <w:szCs w:val="16"/>
              </w:rPr>
              <w:t>РП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C6326A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proofErr w:type="gramStart"/>
            <w:r w:rsidRPr="00C6326A">
              <w:rPr>
                <w:i/>
                <w:sz w:val="16"/>
                <w:szCs w:val="16"/>
              </w:rPr>
              <w:t>Рабочая зона 3</w:t>
            </w:r>
            <w:r w:rsidRPr="00C6326A">
              <w:rPr>
                <w:i/>
                <w:sz w:val="16"/>
                <w:szCs w:val="16"/>
                <w:vertAlign w:val="superscript"/>
              </w:rPr>
              <w:t>3</w:t>
            </w:r>
            <w:r>
              <w:rPr>
                <w:i/>
                <w:sz w:val="16"/>
                <w:szCs w:val="16"/>
                <w:vertAlign w:val="superscript"/>
              </w:rPr>
              <w:t>)</w:t>
            </w:r>
            <w:r w:rsidRPr="00C6326A">
              <w:rPr>
                <w:i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 </w:t>
            </w:r>
            <w:r w:rsidRPr="00552958">
              <w:rPr>
                <w:sz w:val="16"/>
                <w:szCs w:val="16"/>
              </w:rPr>
              <w:br/>
              <w:t>+  РП</w:t>
            </w:r>
            <w:r w:rsidRPr="00552958">
              <w:rPr>
                <w:sz w:val="16"/>
                <w:szCs w:val="16"/>
              </w:rPr>
              <w:br/>
              <w:t>+  респир</w:t>
            </w:r>
            <w:r w:rsidRPr="00552958">
              <w:rPr>
                <w:sz w:val="16"/>
                <w:szCs w:val="16"/>
              </w:rPr>
              <w:t>а</w:t>
            </w:r>
            <w:r w:rsidRPr="00552958">
              <w:rPr>
                <w:sz w:val="16"/>
                <w:szCs w:val="16"/>
              </w:rPr>
              <w:t xml:space="preserve">тор </w:t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t>бокс биологической безопасности II класса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 xml:space="preserve">+ РП 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  <w:r w:rsidRPr="00552958">
              <w:rPr>
                <w:sz w:val="16"/>
                <w:szCs w:val="16"/>
              </w:rPr>
              <w:br/>
              <w:t>+ респ</w:t>
            </w:r>
            <w:r w:rsidRPr="00552958">
              <w:rPr>
                <w:sz w:val="16"/>
                <w:szCs w:val="16"/>
              </w:rPr>
              <w:t>и</w:t>
            </w:r>
            <w:r w:rsidRPr="00552958">
              <w:rPr>
                <w:sz w:val="16"/>
                <w:szCs w:val="16"/>
              </w:rPr>
              <w:t>ратор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  <w:t>+ РП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C6326A">
              <w:rPr>
                <w:i/>
                <w:sz w:val="16"/>
                <w:szCs w:val="16"/>
              </w:rPr>
              <w:t>Рабочая зона 4-1</w:t>
            </w:r>
            <w:r w:rsidRPr="00552958">
              <w:rPr>
                <w:sz w:val="16"/>
                <w:szCs w:val="16"/>
              </w:rPr>
              <w:t xml:space="preserve"> и </w:t>
            </w:r>
            <w:r w:rsidRPr="00552958">
              <w:rPr>
                <w:sz w:val="16"/>
                <w:szCs w:val="16"/>
              </w:rPr>
              <w:br/>
            </w:r>
            <w:r w:rsidRPr="00C6326A">
              <w:rPr>
                <w:i/>
                <w:sz w:val="16"/>
                <w:szCs w:val="16"/>
              </w:rPr>
              <w:t>Рабочая зона 4-2</w:t>
            </w:r>
          </w:p>
        </w:tc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>IV тип +</w:t>
            </w:r>
            <w:r>
              <w:rPr>
                <w:sz w:val="16"/>
                <w:szCs w:val="16"/>
              </w:rPr>
              <w:t xml:space="preserve"> </w:t>
            </w:r>
            <w:r w:rsidRPr="00552958">
              <w:rPr>
                <w:sz w:val="16"/>
                <w:szCs w:val="16"/>
              </w:rPr>
              <w:t>РП</w:t>
            </w:r>
            <w:r w:rsidRPr="00552958">
              <w:rPr>
                <w:sz w:val="16"/>
                <w:szCs w:val="16"/>
              </w:rPr>
              <w:br/>
              <w:t xml:space="preserve">+ </w:t>
            </w:r>
            <w:r w:rsidRPr="00552958">
              <w:rPr>
                <w:sz w:val="16"/>
                <w:szCs w:val="16"/>
              </w:rPr>
              <w:lastRenderedPageBreak/>
              <w:t>респир</w:t>
            </w:r>
            <w:r w:rsidRPr="00552958">
              <w:rPr>
                <w:sz w:val="16"/>
                <w:szCs w:val="16"/>
              </w:rPr>
              <w:t>а</w:t>
            </w:r>
            <w:r w:rsidRPr="00552958">
              <w:rPr>
                <w:sz w:val="16"/>
                <w:szCs w:val="16"/>
              </w:rPr>
              <w:t xml:space="preserve">тор </w:t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i/>
                <w:sz w:val="16"/>
                <w:szCs w:val="16"/>
              </w:rPr>
            </w:pPr>
            <w:r w:rsidRPr="00552958">
              <w:rPr>
                <w:i/>
                <w:sz w:val="16"/>
                <w:szCs w:val="16"/>
              </w:rPr>
              <w:lastRenderedPageBreak/>
              <w:t>бокс биологической безопасности II класса (</w:t>
            </w:r>
            <w:r w:rsidRPr="00552958">
              <w:rPr>
                <w:i/>
                <w:sz w:val="16"/>
                <w:szCs w:val="16"/>
                <w:lang w:val="en-US"/>
              </w:rPr>
              <w:t>I</w:t>
            </w:r>
            <w:r w:rsidRPr="00552958">
              <w:rPr>
                <w:i/>
                <w:sz w:val="16"/>
                <w:szCs w:val="16"/>
              </w:rPr>
              <w:t xml:space="preserve"> класса)  или  ПЦР-бокс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lastRenderedPageBreak/>
              <w:t>+ РП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lastRenderedPageBreak/>
              <w:t xml:space="preserve">IV тип </w:t>
            </w:r>
            <w:r w:rsidRPr="00552958"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lastRenderedPageBreak/>
              <w:t>+ РП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lastRenderedPageBreak/>
              <w:t xml:space="preserve">IV тип </w:t>
            </w:r>
            <w:r w:rsidRPr="00552958"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lastRenderedPageBreak/>
              <w:t>+ РП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lastRenderedPageBreak/>
              <w:t>IV тип + РП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54" w:rsidRPr="00552958" w:rsidRDefault="00F45354" w:rsidP="00F45354">
            <w:pPr>
              <w:pStyle w:val="TablCenter"/>
              <w:spacing w:before="0" w:after="0" w:line="240" w:lineRule="auto"/>
              <w:rPr>
                <w:sz w:val="16"/>
                <w:szCs w:val="16"/>
              </w:rPr>
            </w:pPr>
            <w:r w:rsidRPr="00552958">
              <w:rPr>
                <w:sz w:val="16"/>
                <w:szCs w:val="16"/>
              </w:rPr>
              <w:t xml:space="preserve">IV тип </w:t>
            </w:r>
            <w:r w:rsidRPr="00552958">
              <w:rPr>
                <w:sz w:val="16"/>
                <w:szCs w:val="16"/>
              </w:rPr>
              <w:br/>
            </w:r>
            <w:r w:rsidRPr="00552958">
              <w:rPr>
                <w:sz w:val="16"/>
                <w:szCs w:val="16"/>
              </w:rPr>
              <w:lastRenderedPageBreak/>
              <w:t>+ РП</w:t>
            </w:r>
          </w:p>
        </w:tc>
      </w:tr>
      <w:tr w:rsidR="00F45354" w:rsidRPr="00552958" w:rsidTr="00F4535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39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354" w:rsidRPr="00552958" w:rsidRDefault="00F45354" w:rsidP="00F45354">
            <w:pPr>
              <w:pStyle w:val="a4"/>
              <w:spacing w:before="0" w:after="0" w:line="240" w:lineRule="auto"/>
              <w:ind w:firstLine="0"/>
              <w:jc w:val="left"/>
              <w:rPr>
                <w:b/>
                <w:sz w:val="15"/>
                <w:szCs w:val="15"/>
              </w:rPr>
            </w:pPr>
            <w:r w:rsidRPr="00552958">
              <w:rPr>
                <w:b/>
                <w:sz w:val="15"/>
                <w:szCs w:val="15"/>
              </w:rPr>
              <w:lastRenderedPageBreak/>
              <w:t>Примечания:</w:t>
            </w:r>
          </w:p>
          <w:p w:rsidR="00F45354" w:rsidRPr="00552958" w:rsidRDefault="00F45354" w:rsidP="00F45354">
            <w:pPr>
              <w:pStyle w:val="Tablleft"/>
              <w:spacing w:before="0" w:after="0" w:line="240" w:lineRule="auto"/>
              <w:jc w:val="both"/>
              <w:rPr>
                <w:sz w:val="15"/>
                <w:szCs w:val="15"/>
              </w:rPr>
            </w:pPr>
            <w:r w:rsidRPr="00552958">
              <w:rPr>
                <w:sz w:val="15"/>
                <w:szCs w:val="15"/>
                <w:vertAlign w:val="superscript"/>
              </w:rPr>
              <w:t>1</w:t>
            </w:r>
            <w:r w:rsidRPr="00552958">
              <w:rPr>
                <w:spacing w:val="-4"/>
                <w:sz w:val="15"/>
                <w:szCs w:val="15"/>
                <w:vertAlign w:val="superscript"/>
              </w:rPr>
              <w:t>)</w:t>
            </w:r>
            <w:r>
              <w:rPr>
                <w:spacing w:val="-4"/>
                <w:sz w:val="15"/>
                <w:szCs w:val="15"/>
              </w:rPr>
              <w:t> </w:t>
            </w:r>
            <w:r w:rsidRPr="00552958">
              <w:rPr>
                <w:spacing w:val="-4"/>
                <w:sz w:val="15"/>
                <w:szCs w:val="15"/>
              </w:rPr>
              <w:t>ИСИЗ – изолирующие средства индивидуальной защиты (</w:t>
            </w:r>
            <w:proofErr w:type="spellStart"/>
            <w:r w:rsidRPr="00552958">
              <w:rPr>
                <w:spacing w:val="-4"/>
                <w:sz w:val="15"/>
                <w:szCs w:val="15"/>
              </w:rPr>
              <w:t>пневмокостюмы</w:t>
            </w:r>
            <w:proofErr w:type="spellEnd"/>
            <w:r w:rsidRPr="00552958">
              <w:rPr>
                <w:spacing w:val="-4"/>
                <w:sz w:val="15"/>
                <w:szCs w:val="15"/>
              </w:rPr>
              <w:t xml:space="preserve"> или их ан</w:t>
            </w:r>
            <w:r w:rsidRPr="00552958">
              <w:rPr>
                <w:spacing w:val="-4"/>
                <w:sz w:val="15"/>
                <w:szCs w:val="15"/>
              </w:rPr>
              <w:t>а</w:t>
            </w:r>
            <w:r w:rsidRPr="00552958">
              <w:rPr>
                <w:spacing w:val="-4"/>
                <w:sz w:val="15"/>
                <w:szCs w:val="15"/>
              </w:rPr>
              <w:t>логи).</w:t>
            </w:r>
          </w:p>
          <w:p w:rsidR="00F45354" w:rsidRPr="00552958" w:rsidRDefault="00F45354" w:rsidP="00F45354">
            <w:pPr>
              <w:pStyle w:val="Tablleft"/>
              <w:spacing w:before="0" w:after="0" w:line="240" w:lineRule="auto"/>
              <w:rPr>
                <w:sz w:val="15"/>
                <w:szCs w:val="15"/>
              </w:rPr>
            </w:pPr>
            <w:r w:rsidRPr="00552958">
              <w:rPr>
                <w:sz w:val="15"/>
                <w:szCs w:val="15"/>
                <w:vertAlign w:val="superscript"/>
              </w:rPr>
              <w:t>2)</w:t>
            </w:r>
            <w:r>
              <w:rPr>
                <w:sz w:val="15"/>
                <w:szCs w:val="15"/>
              </w:rPr>
              <w:t> </w:t>
            </w:r>
            <w:r w:rsidRPr="00552958">
              <w:rPr>
                <w:sz w:val="15"/>
                <w:szCs w:val="15"/>
              </w:rPr>
              <w:t>РП – резиновые или латексные перчатки.</w:t>
            </w:r>
          </w:p>
          <w:p w:rsidR="00F45354" w:rsidRPr="00552958" w:rsidRDefault="00F45354" w:rsidP="00F45354">
            <w:pPr>
              <w:pStyle w:val="Tablleft"/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552958">
              <w:rPr>
                <w:spacing w:val="-4"/>
                <w:sz w:val="15"/>
                <w:szCs w:val="15"/>
                <w:vertAlign w:val="superscript"/>
              </w:rPr>
              <w:t>3)</w:t>
            </w:r>
            <w:r>
              <w:rPr>
                <w:spacing w:val="-4"/>
                <w:sz w:val="15"/>
                <w:szCs w:val="15"/>
                <w:vertAlign w:val="superscript"/>
              </w:rPr>
              <w:t> </w:t>
            </w:r>
            <w:r w:rsidRPr="00552958">
              <w:rPr>
                <w:spacing w:val="-4"/>
                <w:sz w:val="15"/>
                <w:szCs w:val="15"/>
              </w:rPr>
              <w:t>В случае исследования материала, подозрительного на зараже</w:t>
            </w:r>
            <w:r w:rsidRPr="00552958">
              <w:rPr>
                <w:spacing w:val="-4"/>
                <w:sz w:val="15"/>
                <w:szCs w:val="15"/>
              </w:rPr>
              <w:t>н</w:t>
            </w:r>
            <w:r w:rsidRPr="00552958">
              <w:rPr>
                <w:spacing w:val="-4"/>
                <w:sz w:val="15"/>
                <w:szCs w:val="15"/>
              </w:rPr>
              <w:t>ность РНК</w:t>
            </w:r>
            <w:r>
              <w:rPr>
                <w:spacing w:val="-4"/>
                <w:sz w:val="15"/>
                <w:szCs w:val="15"/>
              </w:rPr>
              <w:t>-</w:t>
            </w:r>
            <w:r w:rsidRPr="00552958">
              <w:rPr>
                <w:spacing w:val="-4"/>
                <w:sz w:val="15"/>
                <w:szCs w:val="15"/>
              </w:rPr>
              <w:t xml:space="preserve">вирусами </w:t>
            </w:r>
            <w:r w:rsidRPr="00552958">
              <w:rPr>
                <w:spacing w:val="-4"/>
                <w:sz w:val="15"/>
                <w:szCs w:val="15"/>
                <w:lang w:val="en-US"/>
              </w:rPr>
              <w:t>I</w:t>
            </w:r>
            <w:r w:rsidRPr="00552958">
              <w:rPr>
                <w:spacing w:val="-4"/>
                <w:sz w:val="15"/>
                <w:szCs w:val="15"/>
              </w:rPr>
              <w:t>—</w:t>
            </w:r>
            <w:r w:rsidRPr="00552958">
              <w:rPr>
                <w:spacing w:val="-4"/>
                <w:sz w:val="15"/>
                <w:szCs w:val="15"/>
                <w:lang w:val="en-US"/>
              </w:rPr>
              <w:t>II</w:t>
            </w:r>
            <w:r w:rsidRPr="00552958">
              <w:rPr>
                <w:spacing w:val="-4"/>
                <w:sz w:val="15"/>
                <w:szCs w:val="15"/>
              </w:rPr>
              <w:t xml:space="preserve"> групп</w:t>
            </w:r>
            <w:r w:rsidRPr="00552958">
              <w:rPr>
                <w:sz w:val="15"/>
                <w:szCs w:val="15"/>
              </w:rPr>
              <w:t xml:space="preserve"> патогенности, этап проведения реакции обратной транскрипции РНК проводится с использов</w:t>
            </w:r>
            <w:r w:rsidRPr="00552958">
              <w:rPr>
                <w:sz w:val="15"/>
                <w:szCs w:val="15"/>
              </w:rPr>
              <w:t>а</w:t>
            </w:r>
            <w:r w:rsidRPr="00552958">
              <w:rPr>
                <w:sz w:val="15"/>
                <w:szCs w:val="15"/>
              </w:rPr>
              <w:t>нием ИСИЗ или БББ III класса + IV тип + РП в соответствии с требованиями СП 1.3.1285—03.</w:t>
            </w:r>
          </w:p>
        </w:tc>
      </w:tr>
    </w:tbl>
    <w:p w:rsidR="00F45354" w:rsidRPr="00F45354" w:rsidRDefault="00F45354" w:rsidP="00F45354">
      <w:pPr>
        <w:pStyle w:val="a3"/>
        <w:spacing w:after="0"/>
        <w:ind w:left="0" w:firstLine="746"/>
        <w:rPr>
          <w:rFonts w:ascii="Times New Roman" w:hAnsi="Times New Roman"/>
          <w:b/>
        </w:rPr>
      </w:pPr>
    </w:p>
    <w:p w:rsidR="00F45354" w:rsidRDefault="00AE0211" w:rsidP="00AE0211">
      <w:pPr>
        <w:pStyle w:val="a3"/>
        <w:spacing w:after="0"/>
        <w:ind w:left="0" w:firstLine="851"/>
        <w:jc w:val="center"/>
        <w:rPr>
          <w:rFonts w:ascii="Times New Roman" w:hAnsi="Times New Roman"/>
          <w:b/>
          <w:color w:val="4F81BD"/>
        </w:rPr>
      </w:pPr>
      <w:r w:rsidRPr="00AE0211">
        <w:rPr>
          <w:rFonts w:ascii="Times New Roman" w:hAnsi="Times New Roman"/>
          <w:b/>
        </w:rPr>
        <w:t xml:space="preserve">5. </w:t>
      </w:r>
      <w:r w:rsidR="00F45354" w:rsidRPr="00AE0211">
        <w:rPr>
          <w:rFonts w:ascii="Times New Roman" w:hAnsi="Times New Roman"/>
          <w:b/>
        </w:rPr>
        <w:t>Порядок обеззараживания и утилизации отработанного исследуемого материала и отходов после проведения исследований. Обработка рабочей одежды (</w:t>
      </w:r>
      <w:r w:rsidR="00F45354" w:rsidRPr="00AE0211">
        <w:rPr>
          <w:rFonts w:ascii="Times New Roman" w:hAnsi="Times New Roman"/>
          <w:b/>
          <w:color w:val="000000"/>
        </w:rPr>
        <w:t>МУ 1.3. 2569-09</w:t>
      </w:r>
      <w:r w:rsidR="00F45354" w:rsidRPr="00AE0211">
        <w:rPr>
          <w:rFonts w:ascii="Times New Roman" w:hAnsi="Times New Roman"/>
          <w:b/>
        </w:rPr>
        <w:t>, Приложение 6)</w:t>
      </w:r>
      <w:r w:rsidR="00F45354" w:rsidRPr="00AE0211">
        <w:rPr>
          <w:rFonts w:ascii="Times New Roman" w:hAnsi="Times New Roman"/>
          <w:b/>
          <w:color w:val="4F81BD"/>
        </w:rPr>
        <w:t>.</w:t>
      </w:r>
    </w:p>
    <w:p w:rsidR="000A4C27" w:rsidRPr="000A4C27" w:rsidRDefault="000A4C27" w:rsidP="000A4C27">
      <w:pPr>
        <w:pStyle w:val="Zagpril"/>
        <w:spacing w:before="0" w:after="60" w:line="233" w:lineRule="auto"/>
        <w:rPr>
          <w:sz w:val="24"/>
          <w:lang w:val="en-US"/>
        </w:rPr>
      </w:pP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>1. Дезинфицирующие растворы, после обработки</w:t>
      </w:r>
      <w:r w:rsidRPr="000A4C27">
        <w:rPr>
          <w:color w:val="4F81BD"/>
          <w:sz w:val="24"/>
        </w:rPr>
        <w:t xml:space="preserve"> </w:t>
      </w:r>
      <w:r w:rsidRPr="000A4C27">
        <w:rPr>
          <w:sz w:val="24"/>
        </w:rPr>
        <w:t>ими исследуем</w:t>
      </w:r>
      <w:r w:rsidRPr="000A4C27">
        <w:rPr>
          <w:sz w:val="24"/>
        </w:rPr>
        <w:t>о</w:t>
      </w:r>
      <w:r w:rsidRPr="000A4C27">
        <w:rPr>
          <w:sz w:val="24"/>
        </w:rPr>
        <w:t>го материала и истечения времени их экспозиции, сливают в канализ</w:t>
      </w:r>
      <w:r w:rsidRPr="000A4C27">
        <w:rPr>
          <w:sz w:val="24"/>
        </w:rPr>
        <w:t>а</w:t>
      </w:r>
      <w:r w:rsidRPr="000A4C27">
        <w:rPr>
          <w:sz w:val="24"/>
        </w:rPr>
        <w:t xml:space="preserve">цию, открытую емкость с обработанным материалом помещают в плотный термостойкий пакет (контейнер) для последующего </w:t>
      </w:r>
      <w:proofErr w:type="spellStart"/>
      <w:r w:rsidRPr="000A4C27">
        <w:rPr>
          <w:sz w:val="24"/>
        </w:rPr>
        <w:t>автоклавиров</w:t>
      </w:r>
      <w:r w:rsidRPr="000A4C27">
        <w:rPr>
          <w:sz w:val="24"/>
        </w:rPr>
        <w:t>а</w:t>
      </w:r>
      <w:r w:rsidRPr="000A4C27">
        <w:rPr>
          <w:sz w:val="24"/>
        </w:rPr>
        <w:t>ния</w:t>
      </w:r>
      <w:proofErr w:type="spellEnd"/>
      <w:r w:rsidRPr="000A4C27">
        <w:rPr>
          <w:sz w:val="24"/>
        </w:rPr>
        <w:t xml:space="preserve"> под давлением 2,0 </w:t>
      </w:r>
      <w:proofErr w:type="spellStart"/>
      <w:r w:rsidRPr="000A4C27">
        <w:rPr>
          <w:sz w:val="24"/>
        </w:rPr>
        <w:t>кГс</w:t>
      </w:r>
      <w:proofErr w:type="spellEnd"/>
      <w:r w:rsidRPr="000A4C27">
        <w:rPr>
          <w:sz w:val="24"/>
        </w:rPr>
        <w:t>/см</w:t>
      </w:r>
      <w:r w:rsidRPr="000A4C27">
        <w:rPr>
          <w:sz w:val="24"/>
          <w:vertAlign w:val="superscript"/>
        </w:rPr>
        <w:t>2</w:t>
      </w:r>
      <w:r w:rsidRPr="000A4C27">
        <w:rPr>
          <w:sz w:val="24"/>
        </w:rPr>
        <w:t xml:space="preserve"> (0,2 МПа) при температуре 132 ± 2</w:t>
      </w:r>
      <w:proofErr w:type="gramStart"/>
      <w:r w:rsidRPr="000A4C27">
        <w:rPr>
          <w:sz w:val="24"/>
        </w:rPr>
        <w:t> </w:t>
      </w:r>
      <w:r w:rsidRPr="000A4C27">
        <w:rPr>
          <w:sz w:val="24"/>
        </w:rPr>
        <w:sym w:font="Symbol" w:char="F0B0"/>
      </w:r>
      <w:r w:rsidRPr="000A4C27">
        <w:rPr>
          <w:sz w:val="24"/>
        </w:rPr>
        <w:t>С</w:t>
      </w:r>
      <w:proofErr w:type="gramEnd"/>
      <w:r w:rsidRPr="000A4C27">
        <w:rPr>
          <w:sz w:val="24"/>
        </w:rPr>
        <w:t xml:space="preserve"> в т</w:t>
      </w:r>
      <w:r w:rsidRPr="000A4C27">
        <w:rPr>
          <w:sz w:val="24"/>
        </w:rPr>
        <w:t>е</w:t>
      </w:r>
      <w:r w:rsidRPr="000A4C27">
        <w:rPr>
          <w:sz w:val="24"/>
        </w:rPr>
        <w:t>чение 60 мин.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 xml:space="preserve">1.1. После </w:t>
      </w:r>
      <w:proofErr w:type="spellStart"/>
      <w:r w:rsidRPr="000A4C27">
        <w:rPr>
          <w:sz w:val="24"/>
        </w:rPr>
        <w:t>автоклавирования</w:t>
      </w:r>
      <w:proofErr w:type="spellEnd"/>
      <w:r w:rsidRPr="000A4C27">
        <w:rPr>
          <w:sz w:val="24"/>
        </w:rPr>
        <w:t xml:space="preserve"> пакет с инактивированным матери</w:t>
      </w:r>
      <w:r w:rsidRPr="000A4C27">
        <w:rPr>
          <w:sz w:val="24"/>
        </w:rPr>
        <w:t>а</w:t>
      </w:r>
      <w:r w:rsidRPr="000A4C27">
        <w:rPr>
          <w:sz w:val="24"/>
        </w:rPr>
        <w:t>лом выносят в контейнер для мусора с последующим вывозом на полигон бытовых отходов или на сжигание в специальных п</w:t>
      </w:r>
      <w:r w:rsidRPr="000A4C27">
        <w:rPr>
          <w:sz w:val="24"/>
        </w:rPr>
        <w:t>е</w:t>
      </w:r>
      <w:r w:rsidRPr="000A4C27">
        <w:rPr>
          <w:sz w:val="24"/>
        </w:rPr>
        <w:t>чах.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 xml:space="preserve">2. Обеззараживание пробирок с </w:t>
      </w:r>
      <w:proofErr w:type="spellStart"/>
      <w:r w:rsidRPr="000A4C27">
        <w:rPr>
          <w:sz w:val="24"/>
        </w:rPr>
        <w:t>ампликонами</w:t>
      </w:r>
      <w:proofErr w:type="spellEnd"/>
      <w:r w:rsidRPr="000A4C27">
        <w:rPr>
          <w:sz w:val="24"/>
        </w:rPr>
        <w:t>, расходного материала, перч</w:t>
      </w:r>
      <w:r w:rsidRPr="000A4C27">
        <w:rPr>
          <w:sz w:val="24"/>
        </w:rPr>
        <w:t>а</w:t>
      </w:r>
      <w:r w:rsidRPr="000A4C27">
        <w:rPr>
          <w:sz w:val="24"/>
        </w:rPr>
        <w:t>ток в рабочей зоне 3 (помещении).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 xml:space="preserve">2.1. Использованные пробирки с </w:t>
      </w:r>
      <w:proofErr w:type="spellStart"/>
      <w:r w:rsidRPr="000A4C27">
        <w:rPr>
          <w:sz w:val="24"/>
        </w:rPr>
        <w:t>ампликонами</w:t>
      </w:r>
      <w:proofErr w:type="spellEnd"/>
      <w:r w:rsidRPr="000A4C27">
        <w:rPr>
          <w:sz w:val="24"/>
        </w:rPr>
        <w:t xml:space="preserve"> (исключая пробирки с </w:t>
      </w:r>
      <w:proofErr w:type="spellStart"/>
      <w:r w:rsidRPr="000A4C27">
        <w:rPr>
          <w:sz w:val="24"/>
        </w:rPr>
        <w:t>ампликонами</w:t>
      </w:r>
      <w:proofErr w:type="spellEnd"/>
      <w:r w:rsidRPr="000A4C27">
        <w:rPr>
          <w:sz w:val="24"/>
        </w:rPr>
        <w:t>, передава</w:t>
      </w:r>
      <w:r w:rsidRPr="000A4C27">
        <w:rPr>
          <w:sz w:val="24"/>
        </w:rPr>
        <w:t>е</w:t>
      </w:r>
      <w:r w:rsidRPr="000A4C27">
        <w:rPr>
          <w:sz w:val="24"/>
        </w:rPr>
        <w:t>мые для анализа в рабочие зоны 4-1 и 4-2), наконечники, перчатки, ветошь для обработки поверхностей в боксе биологической защиты или ПЦР-боксе собирают в пластиковые закрывающиеся емкости, выносят в рабочую зону 4-1 с целью посл</w:t>
      </w:r>
      <w:r w:rsidRPr="000A4C27">
        <w:rPr>
          <w:sz w:val="24"/>
        </w:rPr>
        <w:t>е</w:t>
      </w:r>
      <w:r w:rsidRPr="000A4C27">
        <w:rPr>
          <w:sz w:val="24"/>
        </w:rPr>
        <w:t xml:space="preserve">дующей </w:t>
      </w:r>
      <w:proofErr w:type="spellStart"/>
      <w:r w:rsidRPr="000A4C27">
        <w:rPr>
          <w:sz w:val="24"/>
        </w:rPr>
        <w:t>инактивации</w:t>
      </w:r>
      <w:proofErr w:type="spellEnd"/>
      <w:r w:rsidRPr="000A4C27">
        <w:rPr>
          <w:sz w:val="24"/>
        </w:rPr>
        <w:t>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>При ее отсутствии отходы переносят в спец</w:t>
      </w:r>
      <w:r w:rsidRPr="000A4C27">
        <w:rPr>
          <w:sz w:val="24"/>
        </w:rPr>
        <w:t>и</w:t>
      </w:r>
      <w:r w:rsidRPr="000A4C27">
        <w:rPr>
          <w:sz w:val="24"/>
        </w:rPr>
        <w:t>ально-предназ</w:t>
      </w:r>
      <w:r w:rsidRPr="000A4C27">
        <w:rPr>
          <w:sz w:val="24"/>
        </w:rPr>
        <w:softHyphen/>
        <w:t xml:space="preserve">наченное вспомогательное помещение, где проводят их </w:t>
      </w:r>
      <w:proofErr w:type="spellStart"/>
      <w:r w:rsidRPr="000A4C27">
        <w:rPr>
          <w:sz w:val="24"/>
        </w:rPr>
        <w:t>инакт</w:t>
      </w:r>
      <w:r w:rsidRPr="000A4C27">
        <w:rPr>
          <w:sz w:val="24"/>
        </w:rPr>
        <w:t>и</w:t>
      </w:r>
      <w:r w:rsidRPr="000A4C27">
        <w:rPr>
          <w:sz w:val="24"/>
        </w:rPr>
        <w:t>вацию</w:t>
      </w:r>
      <w:proofErr w:type="spellEnd"/>
      <w:r w:rsidRPr="000A4C27">
        <w:rPr>
          <w:sz w:val="24"/>
        </w:rPr>
        <w:t>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 xml:space="preserve">2.2. Утилизацию остатков растворов, содержащих </w:t>
      </w:r>
      <w:proofErr w:type="spellStart"/>
      <w:r w:rsidRPr="000A4C27">
        <w:rPr>
          <w:sz w:val="24"/>
        </w:rPr>
        <w:t>гуанидинизотиоцианат</w:t>
      </w:r>
      <w:proofErr w:type="spellEnd"/>
      <w:r w:rsidRPr="000A4C27">
        <w:rPr>
          <w:sz w:val="24"/>
        </w:rPr>
        <w:t>, осуществляют путем их двадцатикратного разбавления водой с последу</w:t>
      </w:r>
      <w:r w:rsidRPr="000A4C27">
        <w:rPr>
          <w:sz w:val="24"/>
        </w:rPr>
        <w:t>ю</w:t>
      </w:r>
      <w:r w:rsidRPr="000A4C27">
        <w:rPr>
          <w:sz w:val="24"/>
        </w:rPr>
        <w:t xml:space="preserve">щим сливом жидкости  в канализацию. 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>3. В рабочих зонах 4-1 и 4-2 или при их отсутствии во вспомог</w:t>
      </w:r>
      <w:r w:rsidRPr="000A4C27">
        <w:rPr>
          <w:sz w:val="24"/>
        </w:rPr>
        <w:t>а</w:t>
      </w:r>
      <w:r w:rsidRPr="000A4C27">
        <w:rPr>
          <w:sz w:val="24"/>
        </w:rPr>
        <w:t xml:space="preserve">тельном помещении использованные наконечники, пробирки с </w:t>
      </w:r>
      <w:proofErr w:type="spellStart"/>
      <w:r w:rsidRPr="000A4C27">
        <w:rPr>
          <w:sz w:val="24"/>
        </w:rPr>
        <w:t>ампл</w:t>
      </w:r>
      <w:r w:rsidRPr="000A4C27">
        <w:rPr>
          <w:sz w:val="24"/>
        </w:rPr>
        <w:t>и</w:t>
      </w:r>
      <w:r w:rsidRPr="000A4C27">
        <w:rPr>
          <w:sz w:val="24"/>
        </w:rPr>
        <w:t>конами</w:t>
      </w:r>
      <w:proofErr w:type="spellEnd"/>
      <w:r w:rsidRPr="000A4C27">
        <w:rPr>
          <w:sz w:val="24"/>
        </w:rPr>
        <w:t xml:space="preserve"> (не открывать), перчатки, ветошь после окончания работы п</w:t>
      </w:r>
      <w:r w:rsidRPr="000A4C27">
        <w:rPr>
          <w:sz w:val="24"/>
        </w:rPr>
        <w:t>о</w:t>
      </w:r>
      <w:r w:rsidRPr="000A4C27">
        <w:rPr>
          <w:sz w:val="24"/>
        </w:rPr>
        <w:t xml:space="preserve">мещают в плотный термостойкий пакет (контейнер) для последующего </w:t>
      </w:r>
      <w:proofErr w:type="spellStart"/>
      <w:r w:rsidRPr="000A4C27">
        <w:rPr>
          <w:sz w:val="24"/>
        </w:rPr>
        <w:t>автоклавирования</w:t>
      </w:r>
      <w:proofErr w:type="spellEnd"/>
      <w:r w:rsidRPr="000A4C27">
        <w:rPr>
          <w:sz w:val="24"/>
        </w:rPr>
        <w:t xml:space="preserve">  в соответствии с п. 1. 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 xml:space="preserve">4. Дезактивацию буферов и гелей, содержащих бромид </w:t>
      </w:r>
      <w:proofErr w:type="spellStart"/>
      <w:r w:rsidRPr="000A4C27">
        <w:rPr>
          <w:sz w:val="24"/>
        </w:rPr>
        <w:t>этидия</w:t>
      </w:r>
      <w:proofErr w:type="spellEnd"/>
      <w:r w:rsidRPr="000A4C27">
        <w:rPr>
          <w:sz w:val="24"/>
        </w:rPr>
        <w:t>, осуществл</w:t>
      </w:r>
      <w:r w:rsidRPr="000A4C27">
        <w:rPr>
          <w:sz w:val="24"/>
        </w:rPr>
        <w:t>я</w:t>
      </w:r>
      <w:r w:rsidRPr="000A4C27">
        <w:rPr>
          <w:sz w:val="24"/>
        </w:rPr>
        <w:t>ют следующими способами.</w:t>
      </w:r>
    </w:p>
    <w:p w:rsidR="000A4C27" w:rsidRPr="000A4C27" w:rsidRDefault="000A4C27" w:rsidP="000A4C27">
      <w:pPr>
        <w:pStyle w:val="bodytext"/>
        <w:spacing w:line="233" w:lineRule="auto"/>
        <w:rPr>
          <w:sz w:val="24"/>
        </w:rPr>
      </w:pPr>
      <w:r w:rsidRPr="000A4C27">
        <w:rPr>
          <w:sz w:val="24"/>
        </w:rPr>
        <w:t>4.1. Первый способ – отработанные гели и буфер из камеры пом</w:t>
      </w:r>
      <w:r w:rsidRPr="000A4C27">
        <w:rPr>
          <w:sz w:val="24"/>
        </w:rPr>
        <w:t>е</w:t>
      </w:r>
      <w:r w:rsidRPr="000A4C27">
        <w:rPr>
          <w:sz w:val="24"/>
        </w:rPr>
        <w:t xml:space="preserve">щают в пластиковую емкость на </w:t>
      </w:r>
      <w:smartTag w:uri="urn:schemas-microsoft-com:office:smarttags" w:element="metricconverter">
        <w:smartTagPr>
          <w:attr w:name="ProductID" w:val="5 л"/>
        </w:smartTagPr>
        <w:r w:rsidRPr="000A4C27">
          <w:rPr>
            <w:sz w:val="24"/>
          </w:rPr>
          <w:t>5 л</w:t>
        </w:r>
      </w:smartTag>
      <w:r w:rsidRPr="000A4C27">
        <w:rPr>
          <w:sz w:val="24"/>
        </w:rPr>
        <w:t xml:space="preserve"> с плотно завинчивающейся кры</w:t>
      </w:r>
      <w:r w:rsidRPr="000A4C27">
        <w:rPr>
          <w:sz w:val="24"/>
        </w:rPr>
        <w:t>ш</w:t>
      </w:r>
      <w:r w:rsidRPr="000A4C27">
        <w:rPr>
          <w:sz w:val="24"/>
        </w:rPr>
        <w:t xml:space="preserve">кой. Добавляют 1 объем </w:t>
      </w:r>
      <w:smartTag w:uri="urn:schemas-microsoft-com:office:smarttags" w:element="metricconverter">
        <w:smartTagPr>
          <w:attr w:name="ProductID" w:val="0,5 М"/>
        </w:smartTagPr>
        <w:r w:rsidRPr="000A4C27">
          <w:rPr>
            <w:sz w:val="24"/>
          </w:rPr>
          <w:t>0,5 М</w:t>
        </w:r>
      </w:smartTag>
      <w:r w:rsidRPr="000A4C27">
        <w:rPr>
          <w:sz w:val="24"/>
        </w:rPr>
        <w:t xml:space="preserve"> раствора калия перманганата и затем 1 объем </w:t>
      </w:r>
      <w:smartTag w:uri="urn:schemas-microsoft-com:office:smarttags" w:element="metricconverter">
        <w:smartTagPr>
          <w:attr w:name="ProductID" w:val="2,5 М"/>
        </w:smartTagPr>
        <w:r w:rsidRPr="000A4C27">
          <w:rPr>
            <w:sz w:val="24"/>
          </w:rPr>
          <w:t>2,5 М</w:t>
        </w:r>
      </w:smartTag>
      <w:r w:rsidRPr="000A4C27">
        <w:rPr>
          <w:sz w:val="24"/>
        </w:rPr>
        <w:t xml:space="preserve"> соляной кислоты. Аккуратно перемешивают и оставляют при комнатной температуре на </w:t>
      </w:r>
      <w:r w:rsidRPr="000A4C27">
        <w:rPr>
          <w:sz w:val="24"/>
        </w:rPr>
        <w:lastRenderedPageBreak/>
        <w:t>4—6 ч. Доба</w:t>
      </w:r>
      <w:r w:rsidRPr="000A4C27">
        <w:rPr>
          <w:sz w:val="24"/>
        </w:rPr>
        <w:t>в</w:t>
      </w:r>
      <w:r w:rsidRPr="000A4C27">
        <w:rPr>
          <w:sz w:val="24"/>
        </w:rPr>
        <w:t xml:space="preserve">ляют 1 объем </w:t>
      </w:r>
      <w:smartTag w:uri="urn:schemas-microsoft-com:office:smarttags" w:element="metricconverter">
        <w:smartTagPr>
          <w:attr w:name="ProductID" w:val="2,5 М"/>
        </w:smartTagPr>
        <w:r w:rsidRPr="000A4C27">
          <w:rPr>
            <w:sz w:val="24"/>
          </w:rPr>
          <w:t>2,5 М</w:t>
        </w:r>
      </w:smartTag>
      <w:r w:rsidRPr="000A4C27">
        <w:rPr>
          <w:sz w:val="24"/>
        </w:rPr>
        <w:t xml:space="preserve"> натрия гидроксида, аккуратно перемешивают. Сбрасывают нейтрализ</w:t>
      </w:r>
      <w:r w:rsidRPr="000A4C27">
        <w:rPr>
          <w:sz w:val="24"/>
        </w:rPr>
        <w:t>о</w:t>
      </w:r>
      <w:r w:rsidRPr="000A4C27">
        <w:rPr>
          <w:sz w:val="24"/>
        </w:rPr>
        <w:t>ванные реактивы в канализацию.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 xml:space="preserve">Необходимые реагенты для обработки </w:t>
      </w:r>
      <w:smartTag w:uri="urn:schemas-microsoft-com:office:smarttags" w:element="metricconverter">
        <w:smartTagPr>
          <w:attr w:name="ProductID" w:val="1 л"/>
        </w:smartTagPr>
        <w:r w:rsidRPr="000A4C27">
          <w:rPr>
            <w:sz w:val="24"/>
          </w:rPr>
          <w:t>1 л</w:t>
        </w:r>
      </w:smartTag>
      <w:r w:rsidRPr="000A4C27">
        <w:rPr>
          <w:sz w:val="24"/>
        </w:rPr>
        <w:t xml:space="preserve"> буфера и гелей: 0,5 М перманг</w:t>
      </w:r>
      <w:r w:rsidRPr="000A4C27">
        <w:rPr>
          <w:sz w:val="24"/>
        </w:rPr>
        <w:t>а</w:t>
      </w:r>
      <w:r w:rsidRPr="000A4C27">
        <w:rPr>
          <w:sz w:val="24"/>
        </w:rPr>
        <w:t xml:space="preserve">нат калия – </w:t>
      </w:r>
      <w:smartTag w:uri="urn:schemas-microsoft-com:office:smarttags" w:element="metricconverter">
        <w:smartTagPr>
          <w:attr w:name="ProductID" w:val="1 л"/>
        </w:smartTagPr>
        <w:r w:rsidRPr="000A4C27">
          <w:rPr>
            <w:sz w:val="24"/>
          </w:rPr>
          <w:t>1 л</w:t>
        </w:r>
      </w:smartTag>
      <w:r w:rsidRPr="000A4C27">
        <w:rPr>
          <w:sz w:val="24"/>
        </w:rPr>
        <w:t xml:space="preserve">; </w:t>
      </w:r>
      <w:smartTag w:uri="urn:schemas-microsoft-com:office:smarttags" w:element="metricconverter">
        <w:smartTagPr>
          <w:attr w:name="ProductID" w:val="2,5 М"/>
        </w:smartTagPr>
        <w:r w:rsidRPr="000A4C27">
          <w:rPr>
            <w:sz w:val="24"/>
          </w:rPr>
          <w:t>2,5 М</w:t>
        </w:r>
      </w:smartTag>
      <w:r w:rsidRPr="000A4C27">
        <w:rPr>
          <w:sz w:val="24"/>
        </w:rPr>
        <w:t xml:space="preserve"> соляная кислота – </w:t>
      </w:r>
      <w:smartTag w:uri="urn:schemas-microsoft-com:office:smarttags" w:element="metricconverter">
        <w:smartTagPr>
          <w:attr w:name="ProductID" w:val="1 л"/>
        </w:smartTagPr>
        <w:r w:rsidRPr="000A4C27">
          <w:rPr>
            <w:sz w:val="24"/>
          </w:rPr>
          <w:t>1 л</w:t>
        </w:r>
      </w:smartTag>
      <w:r w:rsidRPr="000A4C27">
        <w:rPr>
          <w:sz w:val="24"/>
        </w:rPr>
        <w:t xml:space="preserve">; </w:t>
      </w:r>
      <w:smartTag w:uri="urn:schemas-microsoft-com:office:smarttags" w:element="metricconverter">
        <w:smartTagPr>
          <w:attr w:name="ProductID" w:val="2,5 М"/>
        </w:smartTagPr>
        <w:r w:rsidRPr="000A4C27">
          <w:rPr>
            <w:sz w:val="24"/>
          </w:rPr>
          <w:t>2,5 М</w:t>
        </w:r>
      </w:smartTag>
      <w:r w:rsidRPr="000A4C27">
        <w:rPr>
          <w:sz w:val="24"/>
        </w:rPr>
        <w:t xml:space="preserve"> </w:t>
      </w:r>
      <w:proofErr w:type="spellStart"/>
      <w:r w:rsidRPr="000A4C27">
        <w:rPr>
          <w:sz w:val="24"/>
        </w:rPr>
        <w:t>NaOH</w:t>
      </w:r>
      <w:proofErr w:type="spellEnd"/>
      <w:r w:rsidRPr="000A4C27">
        <w:rPr>
          <w:sz w:val="24"/>
        </w:rPr>
        <w:t xml:space="preserve"> – </w:t>
      </w:r>
      <w:smartTag w:uri="urn:schemas-microsoft-com:office:smarttags" w:element="metricconverter">
        <w:smartTagPr>
          <w:attr w:name="ProductID" w:val="1 л"/>
        </w:smartTagPr>
        <w:r w:rsidRPr="000A4C27">
          <w:rPr>
            <w:sz w:val="24"/>
          </w:rPr>
          <w:t>1 л</w:t>
        </w:r>
      </w:smartTag>
      <w:r w:rsidRPr="000A4C27">
        <w:rPr>
          <w:sz w:val="24"/>
        </w:rPr>
        <w:t>.</w:t>
      </w:r>
    </w:p>
    <w:p w:rsidR="000A4C27" w:rsidRPr="000A4C27" w:rsidRDefault="000A4C27" w:rsidP="000A4C27">
      <w:pPr>
        <w:pStyle w:val="bodytext"/>
        <w:spacing w:line="235" w:lineRule="auto"/>
        <w:rPr>
          <w:spacing w:val="2"/>
          <w:sz w:val="24"/>
        </w:rPr>
      </w:pPr>
      <w:r w:rsidRPr="000A4C27">
        <w:rPr>
          <w:sz w:val="24"/>
        </w:rPr>
        <w:t xml:space="preserve">4.2. </w:t>
      </w:r>
      <w:proofErr w:type="gramStart"/>
      <w:r w:rsidRPr="000A4C27">
        <w:rPr>
          <w:sz w:val="24"/>
        </w:rPr>
        <w:t xml:space="preserve">Второй способ – обработку растворов (буферов), содержащих </w:t>
      </w:r>
      <w:proofErr w:type="spellStart"/>
      <w:r w:rsidRPr="000A4C27">
        <w:rPr>
          <w:sz w:val="24"/>
        </w:rPr>
        <w:t>этидиум</w:t>
      </w:r>
      <w:proofErr w:type="spellEnd"/>
      <w:r w:rsidRPr="000A4C27">
        <w:rPr>
          <w:sz w:val="24"/>
        </w:rPr>
        <w:t xml:space="preserve"> бромид, осуществляют путем добавления к ним </w:t>
      </w:r>
      <w:proofErr w:type="spellStart"/>
      <w:r w:rsidRPr="000A4C27">
        <w:rPr>
          <w:sz w:val="24"/>
        </w:rPr>
        <w:t>деконтамин</w:t>
      </w:r>
      <w:r w:rsidRPr="000A4C27">
        <w:rPr>
          <w:sz w:val="24"/>
        </w:rPr>
        <w:t>и</w:t>
      </w:r>
      <w:r w:rsidRPr="000A4C27">
        <w:rPr>
          <w:sz w:val="24"/>
        </w:rPr>
        <w:t>рующего</w:t>
      </w:r>
      <w:proofErr w:type="spellEnd"/>
      <w:r w:rsidRPr="000A4C27">
        <w:rPr>
          <w:sz w:val="24"/>
        </w:rPr>
        <w:t xml:space="preserve"> раствора до его конечной концентрации 25 % (например, 25 мл </w:t>
      </w:r>
      <w:proofErr w:type="spellStart"/>
      <w:r w:rsidRPr="000A4C27">
        <w:rPr>
          <w:sz w:val="24"/>
        </w:rPr>
        <w:t>деконтаминирующ</w:t>
      </w:r>
      <w:r w:rsidRPr="000A4C27">
        <w:rPr>
          <w:sz w:val="24"/>
        </w:rPr>
        <w:t>е</w:t>
      </w:r>
      <w:r w:rsidRPr="000A4C27">
        <w:rPr>
          <w:sz w:val="24"/>
        </w:rPr>
        <w:t>го</w:t>
      </w:r>
      <w:proofErr w:type="spellEnd"/>
      <w:r w:rsidRPr="000A4C27">
        <w:rPr>
          <w:sz w:val="24"/>
        </w:rPr>
        <w:t xml:space="preserve"> раствора добавить к 75 мл раствора, содержащего </w:t>
      </w:r>
      <w:proofErr w:type="spellStart"/>
      <w:r w:rsidRPr="000A4C27">
        <w:rPr>
          <w:spacing w:val="2"/>
          <w:sz w:val="24"/>
        </w:rPr>
        <w:t>этидиум</w:t>
      </w:r>
      <w:proofErr w:type="spellEnd"/>
      <w:r w:rsidRPr="000A4C27">
        <w:rPr>
          <w:spacing w:val="2"/>
          <w:sz w:val="24"/>
        </w:rPr>
        <w:t xml:space="preserve"> бромид), аккуратно перемешивают и оставляют при </w:t>
      </w:r>
      <w:r w:rsidRPr="000A4C27">
        <w:rPr>
          <w:sz w:val="24"/>
        </w:rPr>
        <w:t>комна</w:t>
      </w:r>
      <w:r w:rsidRPr="000A4C27">
        <w:rPr>
          <w:sz w:val="24"/>
        </w:rPr>
        <w:t>т</w:t>
      </w:r>
      <w:r w:rsidRPr="000A4C27">
        <w:rPr>
          <w:sz w:val="24"/>
        </w:rPr>
        <w:t>ной температуре в течение 20 ч. Раствор нейтрализуют (</w:t>
      </w:r>
      <w:r w:rsidRPr="000A4C27">
        <w:rPr>
          <w:sz w:val="24"/>
          <w:lang w:val="en-US"/>
        </w:rPr>
        <w:t>pH</w:t>
      </w:r>
      <w:r w:rsidRPr="000A4C27">
        <w:rPr>
          <w:sz w:val="24"/>
        </w:rPr>
        <w:t xml:space="preserve"> между 5—9)</w:t>
      </w:r>
      <w:r w:rsidRPr="000A4C27">
        <w:rPr>
          <w:spacing w:val="2"/>
          <w:sz w:val="24"/>
        </w:rPr>
        <w:t xml:space="preserve"> натрием бикарбонатом.</w:t>
      </w:r>
      <w:proofErr w:type="gramEnd"/>
      <w:r w:rsidRPr="000A4C27">
        <w:rPr>
          <w:spacing w:val="2"/>
          <w:sz w:val="24"/>
        </w:rPr>
        <w:t xml:space="preserve"> Нейтрализованные растворы сливают в канализ</w:t>
      </w:r>
      <w:r w:rsidRPr="000A4C27">
        <w:rPr>
          <w:spacing w:val="2"/>
          <w:sz w:val="24"/>
        </w:rPr>
        <w:t>а</w:t>
      </w:r>
      <w:r w:rsidRPr="000A4C27">
        <w:rPr>
          <w:spacing w:val="2"/>
          <w:sz w:val="24"/>
        </w:rPr>
        <w:t>цию.</w:t>
      </w:r>
    </w:p>
    <w:p w:rsidR="000A4C27" w:rsidRPr="000A4C27" w:rsidRDefault="000A4C27" w:rsidP="000A4C27">
      <w:pPr>
        <w:pStyle w:val="bodytext"/>
        <w:spacing w:line="235" w:lineRule="auto"/>
        <w:rPr>
          <w:spacing w:val="-4"/>
          <w:sz w:val="24"/>
        </w:rPr>
      </w:pPr>
      <w:r w:rsidRPr="000A4C27">
        <w:rPr>
          <w:spacing w:val="-6"/>
          <w:sz w:val="24"/>
        </w:rPr>
        <w:t xml:space="preserve">Обработку твердых материалов, содержащих </w:t>
      </w:r>
      <w:proofErr w:type="spellStart"/>
      <w:r w:rsidRPr="000A4C27">
        <w:rPr>
          <w:spacing w:val="-6"/>
          <w:sz w:val="24"/>
        </w:rPr>
        <w:t>этидиум</w:t>
      </w:r>
      <w:proofErr w:type="spellEnd"/>
      <w:r w:rsidRPr="000A4C27">
        <w:rPr>
          <w:spacing w:val="-6"/>
          <w:sz w:val="24"/>
        </w:rPr>
        <w:t xml:space="preserve"> бромид (нак</w:t>
      </w:r>
      <w:r w:rsidRPr="000A4C27">
        <w:rPr>
          <w:spacing w:val="-6"/>
          <w:sz w:val="24"/>
        </w:rPr>
        <w:t>о</w:t>
      </w:r>
      <w:r w:rsidRPr="000A4C27">
        <w:rPr>
          <w:spacing w:val="-6"/>
          <w:sz w:val="24"/>
        </w:rPr>
        <w:t>неч</w:t>
      </w:r>
      <w:r w:rsidRPr="000A4C27">
        <w:rPr>
          <w:spacing w:val="-6"/>
          <w:sz w:val="24"/>
        </w:rPr>
        <w:softHyphen/>
      </w:r>
      <w:r w:rsidRPr="000A4C27">
        <w:rPr>
          <w:spacing w:val="-4"/>
          <w:sz w:val="24"/>
        </w:rPr>
        <w:t>ники и гели), осуществляют путем помещения их в пластмассовую е</w:t>
      </w:r>
      <w:r w:rsidRPr="000A4C27">
        <w:rPr>
          <w:spacing w:val="-4"/>
          <w:sz w:val="24"/>
        </w:rPr>
        <w:t>м</w:t>
      </w:r>
      <w:r w:rsidRPr="000A4C27">
        <w:rPr>
          <w:spacing w:val="-4"/>
          <w:sz w:val="24"/>
        </w:rPr>
        <w:t xml:space="preserve">кость, содержащую </w:t>
      </w:r>
      <w:proofErr w:type="spellStart"/>
      <w:r w:rsidRPr="000A4C27">
        <w:rPr>
          <w:spacing w:val="-4"/>
          <w:sz w:val="24"/>
        </w:rPr>
        <w:t>деконтаминирующий</w:t>
      </w:r>
      <w:proofErr w:type="spellEnd"/>
      <w:r w:rsidRPr="000A4C27">
        <w:rPr>
          <w:spacing w:val="-4"/>
          <w:sz w:val="24"/>
        </w:rPr>
        <w:t xml:space="preserve"> раствор. Далее процедуру выпо</w:t>
      </w:r>
      <w:r w:rsidRPr="000A4C27">
        <w:rPr>
          <w:spacing w:val="-4"/>
          <w:sz w:val="24"/>
        </w:rPr>
        <w:t>л</w:t>
      </w:r>
      <w:r w:rsidRPr="000A4C27">
        <w:rPr>
          <w:spacing w:val="-4"/>
          <w:sz w:val="24"/>
        </w:rPr>
        <w:t xml:space="preserve">няют </w:t>
      </w:r>
      <w:r w:rsidRPr="000A4C27">
        <w:rPr>
          <w:spacing w:val="-6"/>
          <w:sz w:val="24"/>
        </w:rPr>
        <w:t xml:space="preserve">как при </w:t>
      </w:r>
      <w:proofErr w:type="spellStart"/>
      <w:r w:rsidRPr="000A4C27">
        <w:rPr>
          <w:spacing w:val="-6"/>
          <w:sz w:val="24"/>
        </w:rPr>
        <w:t>деконтаминации</w:t>
      </w:r>
      <w:proofErr w:type="spellEnd"/>
      <w:r w:rsidRPr="000A4C27">
        <w:rPr>
          <w:spacing w:val="-6"/>
          <w:sz w:val="24"/>
        </w:rPr>
        <w:t xml:space="preserve">  растворов (буферов), содержащих </w:t>
      </w:r>
      <w:proofErr w:type="spellStart"/>
      <w:r w:rsidRPr="000A4C27">
        <w:rPr>
          <w:spacing w:val="-6"/>
          <w:sz w:val="24"/>
        </w:rPr>
        <w:t>этидиум</w:t>
      </w:r>
      <w:proofErr w:type="spellEnd"/>
      <w:r w:rsidRPr="000A4C27">
        <w:rPr>
          <w:spacing w:val="-6"/>
          <w:sz w:val="24"/>
        </w:rPr>
        <w:t xml:space="preserve"> бр</w:t>
      </w:r>
      <w:r w:rsidRPr="000A4C27">
        <w:rPr>
          <w:spacing w:val="-6"/>
          <w:sz w:val="24"/>
        </w:rPr>
        <w:t>о</w:t>
      </w:r>
      <w:r w:rsidRPr="000A4C27">
        <w:rPr>
          <w:spacing w:val="-6"/>
          <w:sz w:val="24"/>
        </w:rPr>
        <w:t>мид</w:t>
      </w:r>
      <w:r w:rsidRPr="000A4C27">
        <w:rPr>
          <w:spacing w:val="-4"/>
          <w:sz w:val="24"/>
        </w:rPr>
        <w:t xml:space="preserve">. 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 xml:space="preserve">Приготовление </w:t>
      </w:r>
      <w:proofErr w:type="spellStart"/>
      <w:r w:rsidRPr="000A4C27">
        <w:rPr>
          <w:sz w:val="24"/>
        </w:rPr>
        <w:t>деконтаминирующего</w:t>
      </w:r>
      <w:proofErr w:type="spellEnd"/>
      <w:r w:rsidRPr="000A4C27">
        <w:rPr>
          <w:sz w:val="24"/>
        </w:rPr>
        <w:t xml:space="preserve"> раствора: добавить 20 мл 50 %-й </w:t>
      </w:r>
      <w:proofErr w:type="spellStart"/>
      <w:r w:rsidRPr="000A4C27">
        <w:rPr>
          <w:sz w:val="24"/>
        </w:rPr>
        <w:t>гипофосфорной</w:t>
      </w:r>
      <w:proofErr w:type="spellEnd"/>
      <w:r w:rsidRPr="000A4C27">
        <w:rPr>
          <w:sz w:val="24"/>
        </w:rPr>
        <w:t xml:space="preserve"> кислоты к раствору, содержащему 4,2 г н</w:t>
      </w:r>
      <w:r w:rsidRPr="000A4C27">
        <w:rPr>
          <w:sz w:val="24"/>
        </w:rPr>
        <w:t>а</w:t>
      </w:r>
      <w:r w:rsidRPr="000A4C27">
        <w:rPr>
          <w:sz w:val="24"/>
        </w:rPr>
        <w:t>трия нитрита в 300 мл дистиллированной воды, аккуратно перемешать. Раствор используют в день пр</w:t>
      </w:r>
      <w:r w:rsidRPr="000A4C27">
        <w:rPr>
          <w:sz w:val="24"/>
        </w:rPr>
        <w:t>и</w:t>
      </w:r>
      <w:r w:rsidRPr="000A4C27">
        <w:rPr>
          <w:sz w:val="24"/>
        </w:rPr>
        <w:t>готовления.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4.3. Третий способ – заполнить колонку активированным углем и пропускать через нее отработанный буфер небольшими порциями. Де</w:t>
      </w:r>
      <w:r w:rsidRPr="000A4C27">
        <w:rPr>
          <w:sz w:val="24"/>
        </w:rPr>
        <w:t>з</w:t>
      </w:r>
      <w:r w:rsidRPr="000A4C27">
        <w:rPr>
          <w:sz w:val="24"/>
        </w:rPr>
        <w:t>активированный раствор можно сливать в канализацию. Гели дезакт</w:t>
      </w:r>
      <w:r w:rsidRPr="000A4C27">
        <w:rPr>
          <w:sz w:val="24"/>
        </w:rPr>
        <w:t>и</w:t>
      </w:r>
      <w:r w:rsidRPr="000A4C27">
        <w:rPr>
          <w:sz w:val="24"/>
        </w:rPr>
        <w:t>вировать первым способом.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Необходимые реагенты: стеклянная колонка емкостью на 1—2 л; активир</w:t>
      </w:r>
      <w:r w:rsidRPr="000A4C27">
        <w:rPr>
          <w:sz w:val="24"/>
        </w:rPr>
        <w:t>о</w:t>
      </w:r>
      <w:r w:rsidRPr="000A4C27">
        <w:rPr>
          <w:sz w:val="24"/>
        </w:rPr>
        <w:t>ванный уголь.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5. Обработка рабочей одежды.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5.1. При работе с микроорганизмами I—</w:t>
      </w:r>
      <w:r w:rsidRPr="000A4C27">
        <w:rPr>
          <w:sz w:val="24"/>
          <w:lang w:val="en-US"/>
        </w:rPr>
        <w:t>IV</w:t>
      </w:r>
      <w:r w:rsidRPr="000A4C27">
        <w:rPr>
          <w:sz w:val="24"/>
        </w:rPr>
        <w:t xml:space="preserve"> групп патогенности о</w:t>
      </w:r>
      <w:r w:rsidRPr="000A4C27">
        <w:rPr>
          <w:sz w:val="24"/>
        </w:rPr>
        <w:t>б</w:t>
      </w:r>
      <w:r w:rsidRPr="000A4C27">
        <w:rPr>
          <w:spacing w:val="-2"/>
          <w:sz w:val="24"/>
        </w:rPr>
        <w:t>работку рабочей одежды осуществляют в соответствии с СП 1.3.1285—03</w:t>
      </w:r>
      <w:r w:rsidRPr="000A4C27">
        <w:rPr>
          <w:sz w:val="24"/>
        </w:rPr>
        <w:t xml:space="preserve"> и (или) СП 1.3.2322—08.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5.2. Рабочую одежду сотрудников лаборатории маркируют индив</w:t>
      </w:r>
      <w:r w:rsidRPr="000A4C27">
        <w:rPr>
          <w:sz w:val="24"/>
        </w:rPr>
        <w:t>и</w:t>
      </w:r>
      <w:r w:rsidRPr="000A4C27">
        <w:rPr>
          <w:sz w:val="24"/>
        </w:rPr>
        <w:t>дуально и в соответствии с зональным распределением, ее смену пров</w:t>
      </w:r>
      <w:r w:rsidRPr="000A4C27">
        <w:rPr>
          <w:sz w:val="24"/>
        </w:rPr>
        <w:t>о</w:t>
      </w:r>
      <w:r w:rsidRPr="000A4C27">
        <w:rPr>
          <w:sz w:val="24"/>
        </w:rPr>
        <w:t xml:space="preserve">дят не реже одного раза в неделю. В зоне </w:t>
      </w:r>
      <w:proofErr w:type="spellStart"/>
      <w:r w:rsidRPr="000A4C27">
        <w:rPr>
          <w:sz w:val="24"/>
        </w:rPr>
        <w:t>детекции</w:t>
      </w:r>
      <w:proofErr w:type="spellEnd"/>
      <w:r w:rsidRPr="000A4C27">
        <w:rPr>
          <w:sz w:val="24"/>
        </w:rPr>
        <w:t xml:space="preserve"> результатов жел</w:t>
      </w:r>
      <w:r w:rsidRPr="000A4C27">
        <w:rPr>
          <w:sz w:val="24"/>
        </w:rPr>
        <w:t>а</w:t>
      </w:r>
      <w:r w:rsidRPr="000A4C27">
        <w:rPr>
          <w:sz w:val="24"/>
        </w:rPr>
        <w:t>тельно использовать одноразовую рабочую одежду.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5.3. Стирку рабочей одежды сотрудников проводят в прачечной организ</w:t>
      </w:r>
      <w:r w:rsidRPr="000A4C27">
        <w:rPr>
          <w:sz w:val="24"/>
        </w:rPr>
        <w:t>а</w:t>
      </w:r>
      <w:r w:rsidRPr="000A4C27">
        <w:rPr>
          <w:sz w:val="24"/>
        </w:rPr>
        <w:t>ции. Не допускается одновременно производить стирку рабочей одежды разных рабочих зон. Обработку рабочей одежды из зоны учета результатов (</w:t>
      </w:r>
      <w:proofErr w:type="spellStart"/>
      <w:r w:rsidRPr="000A4C27">
        <w:rPr>
          <w:sz w:val="24"/>
        </w:rPr>
        <w:t>детекции</w:t>
      </w:r>
      <w:proofErr w:type="spellEnd"/>
      <w:r w:rsidRPr="000A4C27">
        <w:rPr>
          <w:sz w:val="24"/>
        </w:rPr>
        <w:t>) продуктов амплификации нуклеиновых кислот проводят отдельно от одежды из др</w:t>
      </w:r>
      <w:r w:rsidRPr="000A4C27">
        <w:rPr>
          <w:sz w:val="24"/>
        </w:rPr>
        <w:t>у</w:t>
      </w:r>
      <w:r w:rsidRPr="000A4C27">
        <w:rPr>
          <w:sz w:val="24"/>
        </w:rPr>
        <w:t xml:space="preserve">гих зон. </w:t>
      </w:r>
    </w:p>
    <w:p w:rsidR="000A4C27" w:rsidRPr="000A4C27" w:rsidRDefault="000A4C27" w:rsidP="000A4C27">
      <w:pPr>
        <w:pStyle w:val="bodytext"/>
        <w:spacing w:line="235" w:lineRule="auto"/>
        <w:rPr>
          <w:sz w:val="24"/>
        </w:rPr>
      </w:pPr>
      <w:r w:rsidRPr="000A4C27">
        <w:rPr>
          <w:sz w:val="24"/>
        </w:rPr>
        <w:t>5.4. Сдачу «грязной» и выдачу «чистой» рабочей одежды производят с с</w:t>
      </w:r>
      <w:r w:rsidRPr="000A4C27">
        <w:rPr>
          <w:sz w:val="24"/>
        </w:rPr>
        <w:t>о</w:t>
      </w:r>
      <w:r w:rsidRPr="000A4C27">
        <w:rPr>
          <w:sz w:val="24"/>
        </w:rPr>
        <w:t>блюдением поточности и разделяют во времени.</w:t>
      </w:r>
    </w:p>
    <w:p w:rsidR="000A4C27" w:rsidRPr="000A4C27" w:rsidRDefault="000A4C27" w:rsidP="000A4C27">
      <w:pPr>
        <w:pStyle w:val="a3"/>
        <w:spacing w:after="0"/>
        <w:ind w:left="0" w:firstLine="851"/>
        <w:rPr>
          <w:rFonts w:ascii="Times New Roman" w:hAnsi="Times New Roman"/>
          <w:b/>
          <w:sz w:val="32"/>
        </w:rPr>
      </w:pPr>
    </w:p>
    <w:p w:rsidR="00F45354" w:rsidRPr="0080742C" w:rsidRDefault="00F45354" w:rsidP="0080742C">
      <w:pPr>
        <w:snapToGrid w:val="0"/>
        <w:spacing w:after="0" w:line="240" w:lineRule="auto"/>
        <w:ind w:left="26" w:firstLineChars="400" w:firstLine="964"/>
        <w:rPr>
          <w:rFonts w:ascii="Times New Roman" w:hAnsi="Times New Roman"/>
          <w:b/>
        </w:rPr>
      </w:pPr>
    </w:p>
    <w:sectPr w:rsidR="00F45354" w:rsidRPr="0080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Mono">
    <w:altName w:val="Times New Roman"/>
    <w:charset w:val="00"/>
    <w:family w:val="auto"/>
    <w:pitch w:val="default"/>
    <w:sig w:usb0="00000000" w:usb1="D200F9FB" w:usb2="02000028" w:usb3="00000000" w:csb0="600001DF" w:csb1="FFD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A2A"/>
    <w:multiLevelType w:val="hybridMultilevel"/>
    <w:tmpl w:val="D46810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6781414">
      <w:numFmt w:val="bullet"/>
      <w:lvlText w:val="•"/>
      <w:lvlJc w:val="left"/>
      <w:pPr>
        <w:ind w:left="1926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7D7F16"/>
    <w:multiLevelType w:val="hybridMultilevel"/>
    <w:tmpl w:val="9678FE12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24755980"/>
    <w:multiLevelType w:val="hybridMultilevel"/>
    <w:tmpl w:val="9678FE12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2DA84DC1"/>
    <w:multiLevelType w:val="hybridMultilevel"/>
    <w:tmpl w:val="9678FE12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4FF24001"/>
    <w:multiLevelType w:val="hybridMultilevel"/>
    <w:tmpl w:val="409A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900C7"/>
    <w:multiLevelType w:val="hybridMultilevel"/>
    <w:tmpl w:val="1C98357E"/>
    <w:lvl w:ilvl="0" w:tplc="66D8CB38">
      <w:start w:val="1"/>
      <w:numFmt w:val="bullet"/>
      <w:pStyle w:val="spisok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E21F2D"/>
    <w:multiLevelType w:val="hybridMultilevel"/>
    <w:tmpl w:val="94A6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A16AC"/>
    <w:multiLevelType w:val="hybridMultilevel"/>
    <w:tmpl w:val="9678FE12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BD854B"/>
    <w:rsid w:val="BDF7992D"/>
    <w:rsid w:val="E9FB9E2E"/>
    <w:rsid w:val="ECBD854B"/>
    <w:rsid w:val="EFFF649C"/>
    <w:rsid w:val="00050A31"/>
    <w:rsid w:val="000657E6"/>
    <w:rsid w:val="000716D2"/>
    <w:rsid w:val="00071AAB"/>
    <w:rsid w:val="00082D67"/>
    <w:rsid w:val="000A4C2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3E135C"/>
    <w:rsid w:val="003F6569"/>
    <w:rsid w:val="00414627"/>
    <w:rsid w:val="00425D63"/>
    <w:rsid w:val="004643D8"/>
    <w:rsid w:val="00497C24"/>
    <w:rsid w:val="004C007D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0742C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AE0211"/>
    <w:rsid w:val="00B13A52"/>
    <w:rsid w:val="00B157A2"/>
    <w:rsid w:val="00B224CB"/>
    <w:rsid w:val="00B22673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E70F9"/>
    <w:rsid w:val="00EF2933"/>
    <w:rsid w:val="00EF3423"/>
    <w:rsid w:val="00F05146"/>
    <w:rsid w:val="00F1115D"/>
    <w:rsid w:val="00F3513C"/>
    <w:rsid w:val="00F45354"/>
    <w:rsid w:val="00F465C5"/>
    <w:rsid w:val="00F5180D"/>
    <w:rsid w:val="00F51B21"/>
    <w:rsid w:val="00F51D87"/>
    <w:rsid w:val="00F8455C"/>
    <w:rsid w:val="3D2E204C"/>
    <w:rsid w:val="3FF7D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DejaVu Sans Mono" w:eastAsia="Times New Roman" w:hAnsi="DejaVu Sans Mono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F6569"/>
    <w:pPr>
      <w:ind w:left="720"/>
      <w:contextualSpacing/>
    </w:pPr>
  </w:style>
  <w:style w:type="paragraph" w:customStyle="1" w:styleId="bodytext">
    <w:name w:val="body text"/>
    <w:next w:val="a"/>
    <w:rsid w:val="00B157A2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spisok">
    <w:name w:val="spisok"/>
    <w:basedOn w:val="a"/>
    <w:rsid w:val="0080742C"/>
    <w:pPr>
      <w:numPr>
        <w:numId w:val="7"/>
      </w:numPr>
      <w:tabs>
        <w:tab w:val="left" w:pos="567"/>
      </w:tabs>
      <w:suppressAutoHyphens w:val="0"/>
      <w:spacing w:after="0" w:line="235" w:lineRule="auto"/>
      <w:jc w:val="both"/>
    </w:pPr>
    <w:rPr>
      <w:rFonts w:ascii="Times New Roman" w:hAnsi="Times New Roman"/>
      <w:color w:val="auto"/>
      <w:sz w:val="20"/>
      <w:szCs w:val="20"/>
      <w:lang w:eastAsia="ru-RU"/>
    </w:rPr>
  </w:style>
  <w:style w:type="paragraph" w:customStyle="1" w:styleId="TablCenter">
    <w:name w:val="Tabl_Center"/>
    <w:basedOn w:val="a"/>
    <w:link w:val="TablCenter0"/>
    <w:rsid w:val="00F45354"/>
    <w:pPr>
      <w:suppressAutoHyphens w:val="0"/>
      <w:spacing w:before="20" w:after="20" w:line="209" w:lineRule="auto"/>
      <w:jc w:val="center"/>
    </w:pPr>
    <w:rPr>
      <w:rFonts w:ascii="Times New Roman" w:hAnsi="Times New Roman"/>
      <w:color w:val="auto"/>
      <w:sz w:val="18"/>
      <w:szCs w:val="18"/>
      <w:lang w:eastAsia="ru-RU"/>
    </w:rPr>
  </w:style>
  <w:style w:type="paragraph" w:customStyle="1" w:styleId="Tablleft">
    <w:name w:val="Tabl_left"/>
    <w:basedOn w:val="TablCenter"/>
    <w:rsid w:val="00F45354"/>
    <w:pPr>
      <w:jc w:val="left"/>
    </w:pPr>
  </w:style>
  <w:style w:type="paragraph" w:customStyle="1" w:styleId="a4">
    <w:name w:val="Примечание"/>
    <w:basedOn w:val="a"/>
    <w:rsid w:val="00F45354"/>
    <w:pPr>
      <w:widowControl w:val="0"/>
      <w:suppressAutoHyphens w:val="0"/>
      <w:spacing w:before="60" w:after="60" w:line="230" w:lineRule="auto"/>
      <w:ind w:firstLine="425"/>
      <w:jc w:val="both"/>
    </w:pPr>
    <w:rPr>
      <w:rFonts w:ascii="Times New Roman" w:hAnsi="Times New Roman"/>
      <w:iCs/>
      <w:color w:val="auto"/>
      <w:sz w:val="18"/>
      <w:szCs w:val="20"/>
      <w:lang w:eastAsia="ru-RU"/>
    </w:rPr>
  </w:style>
  <w:style w:type="character" w:customStyle="1" w:styleId="TablCenter0">
    <w:name w:val="Tabl_Center Знак"/>
    <w:basedOn w:val="a0"/>
    <w:link w:val="TablCenter"/>
    <w:rsid w:val="00F45354"/>
    <w:rPr>
      <w:rFonts w:ascii="Times New Roman" w:eastAsia="Times New Roman" w:hAnsi="Times New Roman" w:cs="Times New Roman"/>
      <w:sz w:val="18"/>
      <w:szCs w:val="18"/>
    </w:rPr>
  </w:style>
  <w:style w:type="paragraph" w:customStyle="1" w:styleId="Zagpril">
    <w:name w:val="Zag_pril"/>
    <w:basedOn w:val="a"/>
    <w:rsid w:val="000A4C27"/>
    <w:pPr>
      <w:spacing w:before="120" w:after="120" w:line="240" w:lineRule="auto"/>
      <w:jc w:val="center"/>
    </w:pPr>
    <w:rPr>
      <w:rFonts w:ascii="Times New Roman" w:hAnsi="Times New Roman"/>
      <w:b/>
      <w:color w:val="auto"/>
      <w:sz w:val="21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DejaVu Sans Mono" w:eastAsia="Times New Roman" w:hAnsi="DejaVu Sans Mono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F6569"/>
    <w:pPr>
      <w:ind w:left="720"/>
      <w:contextualSpacing/>
    </w:pPr>
  </w:style>
  <w:style w:type="paragraph" w:customStyle="1" w:styleId="bodytext">
    <w:name w:val="body text"/>
    <w:next w:val="a"/>
    <w:rsid w:val="00B157A2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spisok">
    <w:name w:val="spisok"/>
    <w:basedOn w:val="a"/>
    <w:rsid w:val="0080742C"/>
    <w:pPr>
      <w:numPr>
        <w:numId w:val="7"/>
      </w:numPr>
      <w:tabs>
        <w:tab w:val="left" w:pos="567"/>
      </w:tabs>
      <w:suppressAutoHyphens w:val="0"/>
      <w:spacing w:after="0" w:line="235" w:lineRule="auto"/>
      <w:jc w:val="both"/>
    </w:pPr>
    <w:rPr>
      <w:rFonts w:ascii="Times New Roman" w:hAnsi="Times New Roman"/>
      <w:color w:val="auto"/>
      <w:sz w:val="20"/>
      <w:szCs w:val="20"/>
      <w:lang w:eastAsia="ru-RU"/>
    </w:rPr>
  </w:style>
  <w:style w:type="paragraph" w:customStyle="1" w:styleId="TablCenter">
    <w:name w:val="Tabl_Center"/>
    <w:basedOn w:val="a"/>
    <w:link w:val="TablCenter0"/>
    <w:rsid w:val="00F45354"/>
    <w:pPr>
      <w:suppressAutoHyphens w:val="0"/>
      <w:spacing w:before="20" w:after="20" w:line="209" w:lineRule="auto"/>
      <w:jc w:val="center"/>
    </w:pPr>
    <w:rPr>
      <w:rFonts w:ascii="Times New Roman" w:hAnsi="Times New Roman"/>
      <w:color w:val="auto"/>
      <w:sz w:val="18"/>
      <w:szCs w:val="18"/>
      <w:lang w:eastAsia="ru-RU"/>
    </w:rPr>
  </w:style>
  <w:style w:type="paragraph" w:customStyle="1" w:styleId="Tablleft">
    <w:name w:val="Tabl_left"/>
    <w:basedOn w:val="TablCenter"/>
    <w:rsid w:val="00F45354"/>
    <w:pPr>
      <w:jc w:val="left"/>
    </w:pPr>
  </w:style>
  <w:style w:type="paragraph" w:customStyle="1" w:styleId="a4">
    <w:name w:val="Примечание"/>
    <w:basedOn w:val="a"/>
    <w:rsid w:val="00F45354"/>
    <w:pPr>
      <w:widowControl w:val="0"/>
      <w:suppressAutoHyphens w:val="0"/>
      <w:spacing w:before="60" w:after="60" w:line="230" w:lineRule="auto"/>
      <w:ind w:firstLine="425"/>
      <w:jc w:val="both"/>
    </w:pPr>
    <w:rPr>
      <w:rFonts w:ascii="Times New Roman" w:hAnsi="Times New Roman"/>
      <w:iCs/>
      <w:color w:val="auto"/>
      <w:sz w:val="18"/>
      <w:szCs w:val="20"/>
      <w:lang w:eastAsia="ru-RU"/>
    </w:rPr>
  </w:style>
  <w:style w:type="character" w:customStyle="1" w:styleId="TablCenter0">
    <w:name w:val="Tabl_Center Знак"/>
    <w:basedOn w:val="a0"/>
    <w:link w:val="TablCenter"/>
    <w:rsid w:val="00F45354"/>
    <w:rPr>
      <w:rFonts w:ascii="Times New Roman" w:eastAsia="Times New Roman" w:hAnsi="Times New Roman" w:cs="Times New Roman"/>
      <w:sz w:val="18"/>
      <w:szCs w:val="18"/>
    </w:rPr>
  </w:style>
  <w:style w:type="paragraph" w:customStyle="1" w:styleId="Zagpril">
    <w:name w:val="Zag_pril"/>
    <w:basedOn w:val="a"/>
    <w:rsid w:val="000A4C27"/>
    <w:pPr>
      <w:spacing w:before="120" w:after="120" w:line="240" w:lineRule="auto"/>
      <w:jc w:val="center"/>
    </w:pPr>
    <w:rPr>
      <w:rFonts w:ascii="Times New Roman" w:hAnsi="Times New Roman"/>
      <w:b/>
      <w:color w:val="auto"/>
      <w:sz w:val="2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3548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Dr@gon</cp:lastModifiedBy>
  <cp:revision>24</cp:revision>
  <dcterms:created xsi:type="dcterms:W3CDTF">2016-11-17T01:31:00Z</dcterms:created>
  <dcterms:modified xsi:type="dcterms:W3CDTF">2018-09-16T12:25:00Z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