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A7" w:rsidRPr="00D91AA7" w:rsidRDefault="00D91AA7" w:rsidP="00D91AA7">
      <w:pPr>
        <w:spacing w:after="0"/>
        <w:ind w:firstLine="851"/>
        <w:rPr>
          <w:rFonts w:ascii="Times New Roman" w:hAnsi="Times New Roman" w:cs="Times New Roman"/>
          <w:b/>
          <w:sz w:val="24"/>
        </w:rPr>
      </w:pPr>
      <w:r w:rsidRPr="00D91AA7">
        <w:rPr>
          <w:rFonts w:ascii="Times New Roman" w:hAnsi="Times New Roman" w:cs="Times New Roman"/>
          <w:b/>
          <w:sz w:val="24"/>
        </w:rPr>
        <w:t>Занятие 11</w:t>
      </w:r>
    </w:p>
    <w:p w:rsidR="00D91AA7" w:rsidRDefault="00D91AA7" w:rsidP="00D91AA7">
      <w:pPr>
        <w:spacing w:after="0"/>
        <w:ind w:firstLine="851"/>
        <w:rPr>
          <w:rFonts w:ascii="Times New Roman" w:hAnsi="Times New Roman" w:cs="Times New Roman"/>
          <w:b/>
          <w:sz w:val="24"/>
        </w:rPr>
      </w:pPr>
      <w:r w:rsidRPr="00D91AA7">
        <w:rPr>
          <w:rFonts w:ascii="Times New Roman" w:hAnsi="Times New Roman" w:cs="Times New Roman"/>
          <w:b/>
          <w:sz w:val="24"/>
        </w:rPr>
        <w:t>Тема: Устройство ПЦР-лаборатории.</w:t>
      </w:r>
    </w:p>
    <w:p w:rsidR="00D91AA7" w:rsidRPr="00B22673" w:rsidRDefault="00D91AA7" w:rsidP="00D91AA7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B22673">
        <w:rPr>
          <w:rFonts w:ascii="Times New Roman" w:hAnsi="Times New Roman"/>
          <w:b/>
          <w:sz w:val="24"/>
          <w:szCs w:val="24"/>
        </w:rPr>
        <w:t>Вопросы, рассматриваемые на занятии:</w:t>
      </w:r>
    </w:p>
    <w:p w:rsidR="00D91AA7" w:rsidRDefault="00D91AA7" w:rsidP="004014BF">
      <w:pPr>
        <w:pStyle w:val="a3"/>
        <w:numPr>
          <w:ilvl w:val="0"/>
          <w:numId w:val="2"/>
        </w:numPr>
        <w:spacing w:after="0"/>
        <w:ind w:left="0" w:firstLine="851"/>
        <w:rPr>
          <w:rFonts w:ascii="Times New Roman" w:hAnsi="Times New Roman" w:cs="Times New Roman"/>
          <w:sz w:val="24"/>
        </w:rPr>
      </w:pPr>
      <w:r w:rsidRPr="00D91AA7">
        <w:rPr>
          <w:rFonts w:ascii="Times New Roman" w:hAnsi="Times New Roman" w:cs="Times New Roman"/>
          <w:sz w:val="24"/>
        </w:rPr>
        <w:t>Рабочие зоны лаборатории согласно МУ 1.3. 2569 -09 «Организация работы лабораторий, использующих методы амплификации нуклеиновых кислот при работе с материалом, содержащим микроорганизмы I-IV групп патогенности».</w:t>
      </w:r>
      <w:r w:rsidR="004014BF">
        <w:rPr>
          <w:rFonts w:ascii="Times New Roman" w:hAnsi="Times New Roman" w:cs="Times New Roman"/>
          <w:sz w:val="24"/>
        </w:rPr>
        <w:t xml:space="preserve"> </w:t>
      </w:r>
      <w:r w:rsidRPr="004014BF">
        <w:rPr>
          <w:rFonts w:ascii="Times New Roman" w:hAnsi="Times New Roman" w:cs="Times New Roman"/>
          <w:sz w:val="24"/>
        </w:rPr>
        <w:t xml:space="preserve">Принцип </w:t>
      </w:r>
      <w:proofErr w:type="spellStart"/>
      <w:r w:rsidRPr="004014BF">
        <w:rPr>
          <w:rFonts w:ascii="Times New Roman" w:hAnsi="Times New Roman" w:cs="Times New Roman"/>
          <w:sz w:val="24"/>
        </w:rPr>
        <w:t>однонаправленности</w:t>
      </w:r>
      <w:proofErr w:type="spellEnd"/>
      <w:r w:rsidRPr="004014BF">
        <w:rPr>
          <w:rFonts w:ascii="Times New Roman" w:hAnsi="Times New Roman" w:cs="Times New Roman"/>
          <w:sz w:val="24"/>
        </w:rPr>
        <w:t>.</w:t>
      </w:r>
    </w:p>
    <w:p w:rsidR="004014BF" w:rsidRPr="004014BF" w:rsidRDefault="004014BF" w:rsidP="004014BF">
      <w:pPr>
        <w:pStyle w:val="a3"/>
        <w:spacing w:after="0"/>
        <w:ind w:left="851"/>
        <w:rPr>
          <w:rFonts w:ascii="Times New Roman" w:hAnsi="Times New Roman" w:cs="Times New Roman"/>
          <w:sz w:val="24"/>
        </w:rPr>
      </w:pPr>
    </w:p>
    <w:p w:rsidR="004014BF" w:rsidRDefault="004014BF" w:rsidP="004014BF">
      <w:pPr>
        <w:pStyle w:val="a3"/>
        <w:spacing w:after="0"/>
        <w:ind w:left="851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Pr="00D91AA7">
        <w:rPr>
          <w:rFonts w:ascii="Times New Roman" w:hAnsi="Times New Roman" w:cs="Times New Roman"/>
          <w:b/>
          <w:sz w:val="24"/>
        </w:rPr>
        <w:t>Устройство ПЦР-лаборатории.</w:t>
      </w:r>
    </w:p>
    <w:p w:rsidR="004014BF" w:rsidRDefault="004014BF" w:rsidP="004014BF">
      <w:pPr>
        <w:pStyle w:val="a3"/>
        <w:spacing w:after="0"/>
        <w:ind w:left="851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4014BF" w:rsidRPr="00B01848" w:rsidRDefault="004014BF" w:rsidP="004014BF">
      <w:pPr>
        <w:pStyle w:val="Zagpril"/>
        <w:spacing w:before="0" w:after="60"/>
      </w:pPr>
      <w:bookmarkStart w:id="1" w:name="_Toc251310704"/>
      <w:r>
        <w:t>Рекомендуемые схемы размещения помещений лаборатории, использу</w:t>
      </w:r>
      <w:r>
        <w:t>ю</w:t>
      </w:r>
      <w:r>
        <w:t>щей МАНК при работе с материалом, содержащим микрооргани</w:t>
      </w:r>
      <w:r>
        <w:t>з</w:t>
      </w:r>
      <w:r>
        <w:t xml:space="preserve">мы </w:t>
      </w:r>
      <w:r w:rsidRPr="005A0AA6">
        <w:t>I</w:t>
      </w:r>
      <w:r>
        <w:t>—</w:t>
      </w:r>
      <w:r w:rsidRPr="005A0AA6">
        <w:t>I</w:t>
      </w:r>
      <w:r w:rsidRPr="005A0AA6">
        <w:rPr>
          <w:lang w:val="en-US"/>
        </w:rPr>
        <w:t>V</w:t>
      </w:r>
      <w:r>
        <w:t xml:space="preserve"> групп патогенности</w:t>
      </w:r>
      <w:bookmarkEnd w:id="1"/>
    </w:p>
    <w:p w:rsidR="004014BF" w:rsidRDefault="004014BF" w:rsidP="004014BF">
      <w:pPr>
        <w:pStyle w:val="bodytext"/>
        <w:tabs>
          <w:tab w:val="left" w:leader="underscore" w:pos="6237"/>
        </w:tabs>
        <w:spacing w:line="226" w:lineRule="auto"/>
        <w:ind w:firstLine="0"/>
      </w:pPr>
      <w:r>
        <w:object w:dxaOrig="30085" w:dyaOrig="27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05pt;height:164.95pt" o:ole="">
            <v:imagedata r:id="rId6" o:title="" cropbottom="10918f"/>
          </v:shape>
          <o:OLEObject Type="Embed" ProgID="Visio.Drawing.11" ShapeID="_x0000_i1025" DrawAspect="Content" ObjectID="_1598614281" r:id="rId7"/>
        </w:object>
      </w:r>
    </w:p>
    <w:p w:rsidR="004014BF" w:rsidRPr="0049234F" w:rsidRDefault="004014BF" w:rsidP="004014BF">
      <w:pPr>
        <w:pStyle w:val="bodytext1"/>
        <w:ind w:firstLine="0"/>
        <w:jc w:val="center"/>
        <w:rPr>
          <w:b/>
          <w:sz w:val="18"/>
          <w:szCs w:val="18"/>
        </w:rPr>
      </w:pPr>
      <w:r w:rsidRPr="0049234F">
        <w:rPr>
          <w:b/>
          <w:sz w:val="18"/>
          <w:szCs w:val="18"/>
        </w:rPr>
        <w:t>А</w:t>
      </w:r>
    </w:p>
    <w:p w:rsidR="004014BF" w:rsidRDefault="004014BF" w:rsidP="004014BF">
      <w:pPr>
        <w:pStyle w:val="bodytext1"/>
        <w:ind w:firstLine="0"/>
      </w:pPr>
      <w:r>
        <w:object w:dxaOrig="25853" w:dyaOrig="27002">
          <v:shape id="_x0000_i1026" type="#_x0000_t75" style="width:305.2pt;height:183.75pt" o:ole="">
            <v:imagedata r:id="rId8" o:title="" cropbottom="10922f"/>
          </v:shape>
          <o:OLEObject Type="Embed" ProgID="Visio.Drawing.11" ShapeID="_x0000_i1026" DrawAspect="Content" ObjectID="_1598614282" r:id="rId9"/>
        </w:object>
      </w:r>
    </w:p>
    <w:p w:rsidR="004014BF" w:rsidRDefault="004014BF" w:rsidP="004014BF">
      <w:pPr>
        <w:pStyle w:val="Risunok"/>
        <w:spacing w:after="0"/>
        <w:rPr>
          <w:b/>
        </w:rPr>
      </w:pPr>
      <w:r>
        <w:rPr>
          <w:b/>
        </w:rPr>
        <w:t>Б</w:t>
      </w:r>
    </w:p>
    <w:p w:rsidR="004014BF" w:rsidRPr="00681919" w:rsidRDefault="004014BF" w:rsidP="004014BF">
      <w:pPr>
        <w:pStyle w:val="Risunok"/>
        <w:spacing w:after="0"/>
      </w:pPr>
      <w:r w:rsidRPr="00681919">
        <w:rPr>
          <w:b/>
        </w:rPr>
        <w:t>Рис.</w:t>
      </w:r>
      <w:r>
        <w:rPr>
          <w:b/>
        </w:rPr>
        <w:t xml:space="preserve"> </w:t>
      </w:r>
      <w:r w:rsidRPr="00681919">
        <w:rPr>
          <w:b/>
        </w:rPr>
        <w:t xml:space="preserve">1. </w:t>
      </w:r>
      <w:r w:rsidRPr="00681919">
        <w:t xml:space="preserve">Рекомендуемые схемы размещения помещений (рабочих зон) </w:t>
      </w:r>
      <w:r>
        <w:br/>
      </w:r>
      <w:r w:rsidRPr="00681919">
        <w:t xml:space="preserve">лаборатории, использующей МАНК  с электрофоретической и (или) </w:t>
      </w:r>
      <w:r>
        <w:br/>
      </w:r>
      <w:proofErr w:type="spellStart"/>
      <w:r w:rsidRPr="00681919">
        <w:t>гибридизационно</w:t>
      </w:r>
      <w:proofErr w:type="spellEnd"/>
      <w:r w:rsidRPr="00681919">
        <w:t xml:space="preserve">-ферментативной </w:t>
      </w:r>
      <w:proofErr w:type="spellStart"/>
      <w:r w:rsidRPr="00681919">
        <w:t>детекцией</w:t>
      </w:r>
      <w:proofErr w:type="spellEnd"/>
      <w:r w:rsidRPr="00681919">
        <w:t xml:space="preserve"> продуктов амплиф</w:t>
      </w:r>
      <w:r w:rsidRPr="00681919">
        <w:t>и</w:t>
      </w:r>
      <w:r w:rsidRPr="00681919">
        <w:t>кации (</w:t>
      </w:r>
      <w:r w:rsidRPr="00681919">
        <w:rPr>
          <w:b/>
        </w:rPr>
        <w:t>А</w:t>
      </w:r>
      <w:r w:rsidRPr="00681919">
        <w:t xml:space="preserve"> и </w:t>
      </w:r>
      <w:r w:rsidRPr="00681919">
        <w:rPr>
          <w:b/>
        </w:rPr>
        <w:t>Б</w:t>
      </w:r>
      <w:r>
        <w:t>)</w:t>
      </w:r>
    </w:p>
    <w:p w:rsidR="004014BF" w:rsidRPr="0049234F" w:rsidRDefault="004014BF" w:rsidP="004014BF">
      <w:pPr>
        <w:pStyle w:val="bodytext1"/>
        <w:ind w:firstLine="0"/>
        <w:jc w:val="center"/>
        <w:rPr>
          <w:sz w:val="18"/>
          <w:szCs w:val="18"/>
        </w:rPr>
      </w:pPr>
      <w:r>
        <w:object w:dxaOrig="25853" w:dyaOrig="27002">
          <v:shape id="_x0000_i1027" type="#_x0000_t75" style="width:315.4pt;height:187.5pt" o:ole="">
            <v:imagedata r:id="rId10" o:title="" cropbottom="10679f"/>
          </v:shape>
          <o:OLEObject Type="Embed" ProgID="Visio.Drawing.11" ShapeID="_x0000_i1027" DrawAspect="Content" ObjectID="_1598614283" r:id="rId11"/>
        </w:object>
      </w:r>
      <w:r w:rsidRPr="0049234F">
        <w:rPr>
          <w:b/>
          <w:sz w:val="18"/>
          <w:szCs w:val="18"/>
        </w:rPr>
        <w:t>А</w:t>
      </w:r>
    </w:p>
    <w:p w:rsidR="004014BF" w:rsidRPr="0049234F" w:rsidRDefault="004014BF" w:rsidP="004014BF">
      <w:pPr>
        <w:pStyle w:val="bodytext1"/>
        <w:ind w:firstLine="0"/>
        <w:jc w:val="center"/>
        <w:rPr>
          <w:b/>
          <w:sz w:val="18"/>
          <w:szCs w:val="18"/>
        </w:rPr>
      </w:pPr>
      <w:r>
        <w:object w:dxaOrig="29290" w:dyaOrig="27002">
          <v:shape id="_x0000_i1028" type="#_x0000_t75" style="width:308.95pt;height:213.3pt" o:ole="">
            <v:imagedata r:id="rId12" o:title="" cropbottom="10679f"/>
          </v:shape>
          <o:OLEObject Type="Embed" ProgID="Visio.Drawing.11" ShapeID="_x0000_i1028" DrawAspect="Content" ObjectID="_1598614284" r:id="rId13"/>
        </w:object>
      </w:r>
      <w:r w:rsidRPr="0049234F">
        <w:rPr>
          <w:b/>
          <w:sz w:val="18"/>
          <w:szCs w:val="18"/>
        </w:rPr>
        <w:t>Б</w:t>
      </w:r>
    </w:p>
    <w:p w:rsidR="004014BF" w:rsidRPr="00681919" w:rsidRDefault="004014BF" w:rsidP="004014BF">
      <w:pPr>
        <w:pStyle w:val="Risunok"/>
      </w:pPr>
      <w:r w:rsidRPr="00681919">
        <w:rPr>
          <w:b/>
        </w:rPr>
        <w:t>Рис.</w:t>
      </w:r>
      <w:r>
        <w:rPr>
          <w:b/>
        </w:rPr>
        <w:t xml:space="preserve"> </w:t>
      </w:r>
      <w:r w:rsidRPr="00681919">
        <w:rPr>
          <w:b/>
        </w:rPr>
        <w:t xml:space="preserve">2. </w:t>
      </w:r>
      <w:r w:rsidRPr="00681919">
        <w:t xml:space="preserve">Рекомендуемые схемы размещения помещений (рабочих зон) </w:t>
      </w:r>
      <w:r>
        <w:br/>
      </w:r>
      <w:r w:rsidRPr="00681919">
        <w:t xml:space="preserve">лаборатории, использующей МАНК с </w:t>
      </w:r>
      <w:proofErr w:type="spellStart"/>
      <w:r w:rsidRPr="00681919">
        <w:t>гибридизацион</w:t>
      </w:r>
      <w:r>
        <w:t>н</w:t>
      </w:r>
      <w:r w:rsidRPr="00681919">
        <w:t>о</w:t>
      </w:r>
      <w:proofErr w:type="spellEnd"/>
      <w:r>
        <w:t>-</w:t>
      </w:r>
      <w:r w:rsidRPr="00681919">
        <w:t xml:space="preserve">флуоресцентным </w:t>
      </w:r>
      <w:r>
        <w:br/>
      </w:r>
      <w:r w:rsidRPr="00681919">
        <w:t xml:space="preserve">методом </w:t>
      </w:r>
      <w:proofErr w:type="spellStart"/>
      <w:r w:rsidRPr="00681919">
        <w:t>детекции</w:t>
      </w:r>
      <w:proofErr w:type="spellEnd"/>
      <w:r w:rsidRPr="00681919">
        <w:t xml:space="preserve"> продуктов ампл</w:t>
      </w:r>
      <w:r w:rsidRPr="00681919">
        <w:t>и</w:t>
      </w:r>
      <w:r w:rsidRPr="00681919">
        <w:t>фикации (</w:t>
      </w:r>
      <w:r w:rsidRPr="00681919">
        <w:rPr>
          <w:b/>
        </w:rPr>
        <w:t>А</w:t>
      </w:r>
      <w:r w:rsidRPr="00681919">
        <w:t xml:space="preserve"> и </w:t>
      </w:r>
      <w:r w:rsidRPr="00681919">
        <w:rPr>
          <w:b/>
        </w:rPr>
        <w:t>Б</w:t>
      </w:r>
      <w:r>
        <w:t>)</w:t>
      </w:r>
    </w:p>
    <w:p w:rsidR="004014BF" w:rsidRPr="009E2757" w:rsidRDefault="004014BF" w:rsidP="004014BF">
      <w:pPr>
        <w:jc w:val="center"/>
        <w:rPr>
          <w:rStyle w:val="Risunok0"/>
          <w:rFonts w:eastAsiaTheme="minorHAnsi"/>
        </w:rPr>
      </w:pPr>
      <w:r>
        <w:object w:dxaOrig="17833" w:dyaOrig="13506">
          <v:shape id="_x0000_i1029" type="#_x0000_t75" style="width:313.8pt;height:189.65pt" o:ole="">
            <v:imagedata r:id="rId14" o:title="" cropbottom="9705f"/>
          </v:shape>
          <o:OLEObject Type="Embed" ProgID="Visio.Drawing.11" ShapeID="_x0000_i1029" DrawAspect="Content" ObjectID="_1598614285" r:id="rId15"/>
        </w:object>
      </w:r>
      <w:r w:rsidRPr="0049234F">
        <w:rPr>
          <w:rStyle w:val="Risunok0"/>
          <w:rFonts w:eastAsiaTheme="minorHAnsi"/>
          <w:b/>
          <w:spacing w:val="-2"/>
        </w:rPr>
        <w:t>Рис. 3.</w:t>
      </w:r>
      <w:r w:rsidRPr="0049234F">
        <w:rPr>
          <w:rStyle w:val="Risunok0"/>
          <w:rFonts w:eastAsiaTheme="minorHAnsi"/>
          <w:spacing w:val="-2"/>
        </w:rPr>
        <w:t xml:space="preserve"> Рекомендуемая схема размещения помещений (рабочих зон) лаборат</w:t>
      </w:r>
      <w:r w:rsidRPr="0049234F">
        <w:rPr>
          <w:rStyle w:val="Risunok0"/>
          <w:rFonts w:eastAsiaTheme="minorHAnsi"/>
          <w:spacing w:val="-2"/>
        </w:rPr>
        <w:t>о</w:t>
      </w:r>
      <w:r w:rsidRPr="0049234F">
        <w:rPr>
          <w:rStyle w:val="Risunok0"/>
          <w:rFonts w:eastAsiaTheme="minorHAnsi"/>
          <w:spacing w:val="-2"/>
        </w:rPr>
        <w:t>рии,</w:t>
      </w:r>
      <w:r w:rsidRPr="009E2757">
        <w:rPr>
          <w:rStyle w:val="Risunok0"/>
          <w:rFonts w:eastAsiaTheme="minorHAnsi"/>
        </w:rPr>
        <w:t xml:space="preserve"> использующей МАНК с комплексной </w:t>
      </w:r>
      <w:proofErr w:type="spellStart"/>
      <w:r w:rsidRPr="009E2757">
        <w:rPr>
          <w:rStyle w:val="Risunok0"/>
          <w:rFonts w:eastAsiaTheme="minorHAnsi"/>
        </w:rPr>
        <w:t>детекцией</w:t>
      </w:r>
      <w:proofErr w:type="spellEnd"/>
      <w:r w:rsidRPr="009E2757">
        <w:rPr>
          <w:rStyle w:val="Risunok0"/>
          <w:rFonts w:eastAsiaTheme="minorHAnsi"/>
        </w:rPr>
        <w:t xml:space="preserve"> продуктов амплификации (электрофоретической, </w:t>
      </w:r>
      <w:proofErr w:type="spellStart"/>
      <w:r w:rsidRPr="009E2757">
        <w:rPr>
          <w:rStyle w:val="Risunok0"/>
          <w:rFonts w:eastAsiaTheme="minorHAnsi"/>
        </w:rPr>
        <w:t>гибридизационно</w:t>
      </w:r>
      <w:proofErr w:type="spellEnd"/>
      <w:r w:rsidRPr="009E2757">
        <w:rPr>
          <w:rStyle w:val="Risunok0"/>
          <w:rFonts w:eastAsiaTheme="minorHAnsi"/>
        </w:rPr>
        <w:t xml:space="preserve">-ферментативной (ГИФА), </w:t>
      </w:r>
      <w:r>
        <w:rPr>
          <w:rStyle w:val="Risunok0"/>
          <w:rFonts w:eastAsiaTheme="minorHAnsi"/>
        </w:rPr>
        <w:br/>
      </w:r>
      <w:proofErr w:type="spellStart"/>
      <w:r w:rsidRPr="009E2757">
        <w:rPr>
          <w:rStyle w:val="Risunok0"/>
          <w:rFonts w:eastAsiaTheme="minorHAnsi"/>
        </w:rPr>
        <w:t>гибридизацио</w:t>
      </w:r>
      <w:r>
        <w:rPr>
          <w:rStyle w:val="Risunok0"/>
          <w:rFonts w:eastAsiaTheme="minorHAnsi"/>
        </w:rPr>
        <w:t>н</w:t>
      </w:r>
      <w:r w:rsidRPr="009E2757">
        <w:rPr>
          <w:rStyle w:val="Risunok0"/>
          <w:rFonts w:eastAsiaTheme="minorHAnsi"/>
        </w:rPr>
        <w:t>но</w:t>
      </w:r>
      <w:proofErr w:type="spellEnd"/>
      <w:r>
        <w:rPr>
          <w:rStyle w:val="Risunok0"/>
          <w:rFonts w:eastAsiaTheme="minorHAnsi"/>
        </w:rPr>
        <w:t>-</w:t>
      </w:r>
      <w:r w:rsidRPr="009E2757">
        <w:rPr>
          <w:rStyle w:val="Risunok0"/>
          <w:rFonts w:eastAsiaTheme="minorHAnsi"/>
        </w:rPr>
        <w:t>флуоресцентной), а также их последующего секвенирования или пров</w:t>
      </w:r>
      <w:r w:rsidRPr="009E2757">
        <w:rPr>
          <w:rStyle w:val="Risunok0"/>
          <w:rFonts w:eastAsiaTheme="minorHAnsi"/>
        </w:rPr>
        <w:t>е</w:t>
      </w:r>
      <w:r w:rsidRPr="009E2757">
        <w:rPr>
          <w:rStyle w:val="Risunok0"/>
          <w:rFonts w:eastAsiaTheme="minorHAnsi"/>
        </w:rPr>
        <w:t>дения анализа на ДНК-чипах</w:t>
      </w:r>
    </w:p>
    <w:p w:rsidR="004014BF" w:rsidRDefault="004014BF" w:rsidP="004014BF">
      <w:pPr>
        <w:pStyle w:val="bodytext1"/>
      </w:pPr>
    </w:p>
    <w:p w:rsidR="004014BF" w:rsidRPr="009E2757" w:rsidRDefault="004014BF" w:rsidP="004014BF">
      <w:pPr>
        <w:pStyle w:val="bodytext1"/>
        <w:rPr>
          <w:i/>
        </w:rPr>
      </w:pPr>
      <w:r w:rsidRPr="009E2757">
        <w:rPr>
          <w:i/>
        </w:rPr>
        <w:t>Обозначения:</w:t>
      </w:r>
    </w:p>
    <w:p w:rsidR="004014BF" w:rsidRDefault="004014BF" w:rsidP="004014BF">
      <w:pPr>
        <w:pStyle w:val="bodytext1"/>
      </w:pPr>
      <w:r>
        <w:t>1)</w:t>
      </w:r>
      <w:r w:rsidRPr="00766F14">
        <w:t xml:space="preserve"> </w:t>
      </w:r>
      <w:r>
        <w:t>рабочая зона – 1;</w:t>
      </w:r>
    </w:p>
    <w:p w:rsidR="004014BF" w:rsidRDefault="004014BF" w:rsidP="004014BF">
      <w:pPr>
        <w:pStyle w:val="bodytext1"/>
      </w:pPr>
      <w:r>
        <w:t>2) рабочая зона – 2;</w:t>
      </w:r>
    </w:p>
    <w:p w:rsidR="004014BF" w:rsidRDefault="004014BF" w:rsidP="004014BF">
      <w:pPr>
        <w:pStyle w:val="bodytext1"/>
      </w:pPr>
      <w:r>
        <w:lastRenderedPageBreak/>
        <w:t>3) рабочая зона – 3 (</w:t>
      </w:r>
      <w:proofErr w:type="spellStart"/>
      <w:r>
        <w:t>подзоны</w:t>
      </w:r>
      <w:proofErr w:type="spellEnd"/>
      <w:r>
        <w:t xml:space="preserve"> 3а и 3б);</w:t>
      </w:r>
    </w:p>
    <w:p w:rsidR="004014BF" w:rsidRDefault="004014BF" w:rsidP="004014BF">
      <w:pPr>
        <w:pStyle w:val="bodytext1"/>
      </w:pPr>
      <w:r>
        <w:t>4) рабочая зона 4-1;</w:t>
      </w:r>
    </w:p>
    <w:p w:rsidR="004014BF" w:rsidRDefault="004014BF" w:rsidP="004014BF">
      <w:pPr>
        <w:pStyle w:val="bodytext1"/>
      </w:pPr>
      <w:r>
        <w:t>5) вспомогательное помещение (комната анализа результ</w:t>
      </w:r>
      <w:r>
        <w:t>а</w:t>
      </w:r>
      <w:r>
        <w:t>тов);</w:t>
      </w:r>
    </w:p>
    <w:p w:rsidR="004014BF" w:rsidRDefault="004014BF" w:rsidP="004014BF">
      <w:pPr>
        <w:pStyle w:val="bodytext1"/>
      </w:pPr>
      <w:r>
        <w:t xml:space="preserve">6) </w:t>
      </w:r>
      <w:proofErr w:type="spellStart"/>
      <w:r>
        <w:t>предбокс</w:t>
      </w:r>
      <w:proofErr w:type="spellEnd"/>
      <w:r>
        <w:t xml:space="preserve">; </w:t>
      </w:r>
    </w:p>
    <w:p w:rsidR="004014BF" w:rsidRDefault="004014BF" w:rsidP="004014BF">
      <w:pPr>
        <w:pStyle w:val="bodytext1"/>
      </w:pPr>
      <w:r>
        <w:t>7) вспомогательное помещение (комната обеззараживания матер</w:t>
      </w:r>
      <w:r>
        <w:t>и</w:t>
      </w:r>
      <w:r>
        <w:t>ала с автоклавом);</w:t>
      </w:r>
    </w:p>
    <w:p w:rsidR="004014BF" w:rsidRDefault="004014BF" w:rsidP="004014BF">
      <w:pPr>
        <w:pStyle w:val="bodytext1"/>
      </w:pPr>
      <w:r>
        <w:t>8) рабочая зона 4-2.</w:t>
      </w:r>
    </w:p>
    <w:p w:rsidR="004014BF" w:rsidRPr="00D91AA7" w:rsidRDefault="004014BF" w:rsidP="004014BF">
      <w:pPr>
        <w:pStyle w:val="a3"/>
        <w:spacing w:after="0"/>
        <w:ind w:left="851"/>
        <w:rPr>
          <w:rFonts w:ascii="Times New Roman" w:hAnsi="Times New Roman" w:cs="Times New Roman"/>
          <w:sz w:val="24"/>
        </w:rPr>
      </w:pPr>
    </w:p>
    <w:sectPr w:rsidR="004014BF" w:rsidRPr="00D91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6D7"/>
    <w:multiLevelType w:val="hybridMultilevel"/>
    <w:tmpl w:val="13644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17EE9"/>
    <w:multiLevelType w:val="hybridMultilevel"/>
    <w:tmpl w:val="EAA6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A7"/>
    <w:rsid w:val="004014BF"/>
    <w:rsid w:val="00D9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A7"/>
    <w:pPr>
      <w:ind w:left="720"/>
      <w:contextualSpacing/>
    </w:pPr>
  </w:style>
  <w:style w:type="paragraph" w:customStyle="1" w:styleId="bodytext">
    <w:name w:val="body_text"/>
    <w:link w:val="bodytext0"/>
    <w:rsid w:val="004014BF"/>
    <w:pPr>
      <w:spacing w:after="0" w:line="233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sunok">
    <w:name w:val="Risunok"/>
    <w:basedOn w:val="a"/>
    <w:link w:val="Risunok0"/>
    <w:rsid w:val="004014BF"/>
    <w:pPr>
      <w:keepLines/>
      <w:spacing w:after="12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bodytext1">
    <w:name w:val="body text"/>
    <w:next w:val="a"/>
    <w:rsid w:val="004014BF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pril">
    <w:name w:val="Zag_pril"/>
    <w:basedOn w:val="a"/>
    <w:rsid w:val="004014BF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1"/>
      <w:szCs w:val="20"/>
      <w:lang w:eastAsia="ru-RU"/>
    </w:rPr>
  </w:style>
  <w:style w:type="character" w:customStyle="1" w:styleId="bodytext0">
    <w:name w:val="body_text Знак"/>
    <w:basedOn w:val="a0"/>
    <w:link w:val="bodytext"/>
    <w:rsid w:val="00401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isunok0">
    <w:name w:val="Risunok Знак"/>
    <w:basedOn w:val="a0"/>
    <w:link w:val="Risunok"/>
    <w:rsid w:val="004014BF"/>
    <w:rPr>
      <w:rFonts w:ascii="Times New Roman" w:eastAsia="Times New Roman" w:hAnsi="Times New Roman" w:cs="Times New Roman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A7"/>
    <w:pPr>
      <w:ind w:left="720"/>
      <w:contextualSpacing/>
    </w:pPr>
  </w:style>
  <w:style w:type="paragraph" w:customStyle="1" w:styleId="bodytext">
    <w:name w:val="body_text"/>
    <w:link w:val="bodytext0"/>
    <w:rsid w:val="004014BF"/>
    <w:pPr>
      <w:spacing w:after="0" w:line="233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Risunok">
    <w:name w:val="Risunok"/>
    <w:basedOn w:val="a"/>
    <w:link w:val="Risunok0"/>
    <w:rsid w:val="004014BF"/>
    <w:pPr>
      <w:keepLines/>
      <w:spacing w:after="12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bodytext1">
    <w:name w:val="body text"/>
    <w:next w:val="a"/>
    <w:rsid w:val="004014BF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pril">
    <w:name w:val="Zag_pril"/>
    <w:basedOn w:val="a"/>
    <w:rsid w:val="004014BF"/>
    <w:pPr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1"/>
      <w:szCs w:val="20"/>
      <w:lang w:eastAsia="ru-RU"/>
    </w:rPr>
  </w:style>
  <w:style w:type="character" w:customStyle="1" w:styleId="bodytext0">
    <w:name w:val="body_text Знак"/>
    <w:basedOn w:val="a0"/>
    <w:link w:val="bodytext"/>
    <w:rsid w:val="00401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Risunok0">
    <w:name w:val="Risunok Знак"/>
    <w:basedOn w:val="a0"/>
    <w:link w:val="Risunok"/>
    <w:rsid w:val="004014BF"/>
    <w:rPr>
      <w:rFonts w:ascii="Times New Roman" w:eastAsia="Times New Roman" w:hAnsi="Times New Roman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Dr@gon</dc:creator>
  <cp:lastModifiedBy>Dr@gon</cp:lastModifiedBy>
  <cp:revision>2</cp:revision>
  <dcterms:created xsi:type="dcterms:W3CDTF">2018-09-16T11:41:00Z</dcterms:created>
  <dcterms:modified xsi:type="dcterms:W3CDTF">2018-09-16T11:45:00Z</dcterms:modified>
</cp:coreProperties>
</file>