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73" w:rsidRPr="00F44A73" w:rsidRDefault="00F44A73" w:rsidP="00F44A73">
      <w:pPr>
        <w:spacing w:after="0"/>
        <w:rPr>
          <w:rFonts w:ascii="Times New Roman" w:hAnsi="Times New Roman" w:cs="Times New Roman"/>
          <w:b/>
          <w:sz w:val="24"/>
        </w:rPr>
      </w:pPr>
      <w:r w:rsidRPr="00F44A73">
        <w:rPr>
          <w:rFonts w:ascii="Times New Roman" w:hAnsi="Times New Roman" w:cs="Times New Roman"/>
          <w:b/>
          <w:sz w:val="24"/>
        </w:rPr>
        <w:t>Занятие 12.</w:t>
      </w:r>
    </w:p>
    <w:p w:rsidR="00F44A73" w:rsidRDefault="00F44A73" w:rsidP="00F44A73">
      <w:pPr>
        <w:spacing w:after="0"/>
        <w:rPr>
          <w:rFonts w:ascii="Times New Roman" w:hAnsi="Times New Roman" w:cs="Times New Roman"/>
          <w:b/>
          <w:sz w:val="24"/>
        </w:rPr>
      </w:pPr>
      <w:r w:rsidRPr="00F44A73">
        <w:rPr>
          <w:rFonts w:ascii="Times New Roman" w:hAnsi="Times New Roman" w:cs="Times New Roman"/>
          <w:b/>
          <w:sz w:val="24"/>
        </w:rPr>
        <w:t xml:space="preserve">Тема: Контаминация. </w:t>
      </w:r>
    </w:p>
    <w:p w:rsidR="00F44A73" w:rsidRPr="00B22673" w:rsidRDefault="00F44A73" w:rsidP="00F44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73">
        <w:rPr>
          <w:rFonts w:ascii="Times New Roman" w:hAnsi="Times New Roman"/>
          <w:b/>
          <w:sz w:val="24"/>
          <w:szCs w:val="24"/>
        </w:rPr>
        <w:t>Вопросы, рассматриваемые на занятии:</w:t>
      </w:r>
    </w:p>
    <w:p w:rsidR="00F44A73" w:rsidRPr="00F0725F" w:rsidRDefault="00F44A73" w:rsidP="00F44A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725F">
        <w:rPr>
          <w:rFonts w:ascii="Times New Roman" w:hAnsi="Times New Roman" w:cs="Times New Roman"/>
          <w:sz w:val="24"/>
        </w:rPr>
        <w:t xml:space="preserve">Основные виды контаминации. </w:t>
      </w:r>
    </w:p>
    <w:p w:rsidR="00F44A73" w:rsidRPr="00F0725F" w:rsidRDefault="00F44A73" w:rsidP="00F44A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725F">
        <w:rPr>
          <w:rFonts w:ascii="Times New Roman" w:hAnsi="Times New Roman" w:cs="Times New Roman"/>
          <w:sz w:val="24"/>
        </w:rPr>
        <w:t xml:space="preserve">Основные правила предотвращения контаминации. </w:t>
      </w:r>
    </w:p>
    <w:p w:rsidR="00F44A73" w:rsidRPr="00F0725F" w:rsidRDefault="00F44A73" w:rsidP="00F44A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725F">
        <w:rPr>
          <w:rFonts w:ascii="Times New Roman" w:hAnsi="Times New Roman" w:cs="Times New Roman"/>
          <w:sz w:val="24"/>
        </w:rPr>
        <w:t xml:space="preserve">Способы борьбы с контаминацией. </w:t>
      </w:r>
    </w:p>
    <w:p w:rsidR="00F44A73" w:rsidRDefault="00F44A73" w:rsidP="00F44A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0725F">
        <w:rPr>
          <w:rFonts w:ascii="Times New Roman" w:hAnsi="Times New Roman" w:cs="Times New Roman"/>
          <w:sz w:val="24"/>
        </w:rPr>
        <w:t xml:space="preserve">Порядок проведения </w:t>
      </w:r>
      <w:proofErr w:type="spellStart"/>
      <w:r w:rsidRPr="00F0725F">
        <w:rPr>
          <w:rFonts w:ascii="Times New Roman" w:hAnsi="Times New Roman" w:cs="Times New Roman"/>
          <w:sz w:val="24"/>
        </w:rPr>
        <w:t>деконтаминации</w:t>
      </w:r>
      <w:proofErr w:type="spellEnd"/>
      <w:r w:rsidRPr="00F0725F">
        <w:rPr>
          <w:rFonts w:ascii="Times New Roman" w:hAnsi="Times New Roman" w:cs="Times New Roman"/>
          <w:sz w:val="24"/>
        </w:rPr>
        <w:t xml:space="preserve"> согласно МУ 1.3. 2569-09 (Приложение 7).</w:t>
      </w:r>
    </w:p>
    <w:p w:rsidR="0083408C" w:rsidRDefault="0083408C" w:rsidP="008A27C6">
      <w:pPr>
        <w:spacing w:after="0"/>
        <w:rPr>
          <w:rFonts w:ascii="Times New Roman" w:hAnsi="Times New Roman" w:cs="Times New Roman"/>
          <w:sz w:val="24"/>
        </w:rPr>
      </w:pPr>
    </w:p>
    <w:p w:rsidR="00876BD8" w:rsidRPr="00876BD8" w:rsidRDefault="0083408C" w:rsidP="00876BD8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76B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6BD8" w:rsidRPr="00876BD8">
        <w:rPr>
          <w:rFonts w:ascii="Times New Roman" w:hAnsi="Times New Roman" w:cs="Times New Roman"/>
          <w:b/>
          <w:sz w:val="24"/>
          <w:szCs w:val="24"/>
        </w:rPr>
        <w:t xml:space="preserve">Основные виды контаминации. </w:t>
      </w:r>
    </w:p>
    <w:p w:rsidR="00876BD8" w:rsidRPr="00876BD8" w:rsidRDefault="00876BD8" w:rsidP="0083408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 xml:space="preserve">Контаминация – попадание из внешней среды в реакционную смесь специфических и неспецифических молекул нуклеиновых кислот, способных служить мишенями в реакции амплификации и давать ложноположительные или ложноотрицательные результаты. </w:t>
      </w:r>
    </w:p>
    <w:p w:rsidR="00876BD8" w:rsidRDefault="00876BD8" w:rsidP="0083408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видами контаминации являются: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Перекрестная контаминация – кросс-контаминация (от пробы к пробе) происходит в процессе обработки клинических образцов или при раскапывании реакционной смеси и приводит к появлению спорадических л</w:t>
      </w:r>
      <w:r>
        <w:rPr>
          <w:rFonts w:ascii="Times New Roman" w:hAnsi="Times New Roman" w:cs="Times New Roman"/>
          <w:sz w:val="24"/>
          <w:szCs w:val="24"/>
        </w:rPr>
        <w:t xml:space="preserve">ожноположительных результатов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Контаминация продуктами амплификации (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ампликонами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), имеющая наибольшее значение, поскольку в процессе ПЦР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ампликоны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накапливаются в огромных количествах и являются п</w:t>
      </w:r>
      <w:r>
        <w:rPr>
          <w:rFonts w:ascii="Times New Roman" w:hAnsi="Times New Roman" w:cs="Times New Roman"/>
          <w:sz w:val="24"/>
          <w:szCs w:val="24"/>
        </w:rPr>
        <w:t xml:space="preserve">родуктами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реамплификации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 xml:space="preserve">Контаминация следовыми количествами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ампликонов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лабораторной посуды, автоматических пипеток и лабораторного оборудования, поверхностей лабораторных столов или даже поверхности кожи сотрудников лаборатории, что приводит к появлению систематических ложноположительных результатов. </w:t>
      </w:r>
    </w:p>
    <w:p w:rsidR="00876BD8" w:rsidRDefault="00876BD8" w:rsidP="00876BD8">
      <w:pPr>
        <w:pStyle w:val="a3"/>
        <w:spacing w:after="0"/>
        <w:ind w:left="1146"/>
        <w:rPr>
          <w:rFonts w:ascii="Times New Roman" w:hAnsi="Times New Roman" w:cs="Times New Roman"/>
          <w:sz w:val="24"/>
          <w:szCs w:val="24"/>
        </w:rPr>
      </w:pPr>
    </w:p>
    <w:p w:rsidR="00876BD8" w:rsidRDefault="00876BD8" w:rsidP="00876BD8">
      <w:pPr>
        <w:pStyle w:val="a3"/>
        <w:spacing w:after="0"/>
        <w:ind w:left="1146"/>
        <w:rPr>
          <w:rFonts w:ascii="Times New Roman" w:hAnsi="Times New Roman" w:cs="Times New Roman"/>
          <w:sz w:val="24"/>
          <w:szCs w:val="24"/>
        </w:rPr>
      </w:pPr>
    </w:p>
    <w:p w:rsidR="00876BD8" w:rsidRDefault="00876BD8" w:rsidP="00876BD8">
      <w:pPr>
        <w:pStyle w:val="a3"/>
        <w:spacing w:after="0"/>
        <w:ind w:left="1146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76BD8">
        <w:rPr>
          <w:rFonts w:ascii="Times New Roman" w:hAnsi="Times New Roman" w:cs="Times New Roman"/>
          <w:b/>
          <w:sz w:val="24"/>
          <w:szCs w:val="24"/>
        </w:rPr>
        <w:t>Основными правилами предотвращения контаминации</w:t>
      </w:r>
      <w:r>
        <w:rPr>
          <w:rFonts w:ascii="Times New Roman" w:hAnsi="Times New Roman" w:cs="Times New Roman"/>
          <w:sz w:val="24"/>
          <w:szCs w:val="24"/>
        </w:rPr>
        <w:t xml:space="preserve"> в лаборатории ПЦР являются: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Разделе</w:t>
      </w:r>
      <w:r>
        <w:rPr>
          <w:rFonts w:ascii="Times New Roman" w:hAnsi="Times New Roman" w:cs="Times New Roman"/>
          <w:sz w:val="24"/>
          <w:szCs w:val="24"/>
        </w:rPr>
        <w:t xml:space="preserve">ние функциональных рабочих зон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Соблюдение поточности и направления дв</w:t>
      </w:r>
      <w:r>
        <w:rPr>
          <w:rFonts w:ascii="Times New Roman" w:hAnsi="Times New Roman" w:cs="Times New Roman"/>
          <w:sz w:val="24"/>
          <w:szCs w:val="24"/>
        </w:rPr>
        <w:t xml:space="preserve">ижения анализируемых образцов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Отдельные лабораторные</w:t>
      </w:r>
      <w:r>
        <w:rPr>
          <w:rFonts w:ascii="Times New Roman" w:hAnsi="Times New Roman" w:cs="Times New Roman"/>
          <w:sz w:val="24"/>
          <w:szCs w:val="24"/>
        </w:rPr>
        <w:t xml:space="preserve"> халаты в каждой рабочей зоне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норазовые перчатки без талька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Наконечники для дозаторов с фильт</w:t>
      </w:r>
      <w:r>
        <w:rPr>
          <w:rFonts w:ascii="Times New Roman" w:hAnsi="Times New Roman" w:cs="Times New Roman"/>
          <w:sz w:val="24"/>
          <w:szCs w:val="24"/>
        </w:rPr>
        <w:t xml:space="preserve">рами, защищающими от аэрозоля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Одноразовые пластиковые пробирки</w:t>
      </w:r>
      <w:r>
        <w:rPr>
          <w:rFonts w:ascii="Times New Roman" w:hAnsi="Times New Roman" w:cs="Times New Roman"/>
          <w:sz w:val="24"/>
          <w:szCs w:val="24"/>
        </w:rPr>
        <w:t xml:space="preserve">, посуда, наконечники </w:t>
      </w:r>
    </w:p>
    <w:p w:rsidR="00876BD8" w:rsidRDefault="00876BD8" w:rsidP="00876BD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 xml:space="preserve">Химическая и УФ дезинфекция всех поверхностей рабочих зон. </w:t>
      </w:r>
    </w:p>
    <w:p w:rsidR="00876BD8" w:rsidRDefault="00876BD8" w:rsidP="00876BD8">
      <w:pPr>
        <w:pStyle w:val="a3"/>
        <w:spacing w:after="0"/>
        <w:ind w:left="1146"/>
        <w:rPr>
          <w:rFonts w:ascii="Times New Roman" w:hAnsi="Times New Roman" w:cs="Times New Roman"/>
          <w:sz w:val="24"/>
          <w:szCs w:val="24"/>
        </w:rPr>
      </w:pPr>
    </w:p>
    <w:p w:rsidR="00876BD8" w:rsidRDefault="00876BD8" w:rsidP="00876BD8">
      <w:pPr>
        <w:pStyle w:val="a3"/>
        <w:spacing w:after="0"/>
        <w:ind w:left="1146"/>
        <w:rPr>
          <w:rFonts w:ascii="Times New Roman" w:hAnsi="Times New Roman" w:cs="Times New Roman"/>
          <w:sz w:val="24"/>
          <w:szCs w:val="24"/>
        </w:rPr>
      </w:pPr>
    </w:p>
    <w:p w:rsidR="00876BD8" w:rsidRDefault="00876BD8" w:rsidP="00876BD8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76BD8">
        <w:rPr>
          <w:rFonts w:ascii="Times New Roman" w:hAnsi="Times New Roman" w:cs="Times New Roman"/>
          <w:b/>
          <w:sz w:val="24"/>
          <w:szCs w:val="24"/>
        </w:rPr>
        <w:t>Существует несколько способов борьбы с контаминацией</w:t>
      </w:r>
      <w:r w:rsidRPr="00876B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BD8" w:rsidRDefault="00876BD8" w:rsidP="00876BD8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76BD8">
        <w:rPr>
          <w:rFonts w:ascii="Times New Roman" w:hAnsi="Times New Roman" w:cs="Times New Roman"/>
          <w:sz w:val="24"/>
          <w:szCs w:val="24"/>
        </w:rPr>
        <w:t>Одним из этих способов является использование фермента N-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гликозилазы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(УГ). В основе этого метода лежит способность УГ расщеплять молекулы ДНК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 встроенным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урацилом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. Реакцию амплификации проводят с использованием смеси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дНТФ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, в которой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дТТФ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заменен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дУТФ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), и после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термоциклирования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все образующиеся в пробирке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ампликоны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будут содержать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. Если до амплификации в реакционную смесь добавить УГ, то попавшие в реакционную смесь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ампликоны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876BD8">
        <w:rPr>
          <w:rFonts w:ascii="Times New Roman" w:hAnsi="Times New Roman" w:cs="Times New Roman"/>
          <w:sz w:val="24"/>
          <w:szCs w:val="24"/>
        </w:rPr>
        <w:lastRenderedPageBreak/>
        <w:t xml:space="preserve">разрушены, тогда как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нативная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ДНК останется целой и будет в дальнейшем служить мишенью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 амплификации. Другим способом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ампликонов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служит фотохимическое воздействие на молекулы ДНК. Для этого используют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псорален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изопсорален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 активируются кратковременным облучением ультрафиолетовым светом. Модифицированные этими соединениями молекулы ДНК не могут участвовать в реакции амплификации. Однако, как известно, ни одна биологическая или химическая реакция не идёт со 100%-ной эффективностью и, соответственно, после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продуктов амплификации из миллиардов копий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амплифицированного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фрагмента хотя бы несколько ос</w:t>
      </w:r>
      <w:r>
        <w:rPr>
          <w:rFonts w:ascii="Times New Roman" w:hAnsi="Times New Roman" w:cs="Times New Roman"/>
          <w:sz w:val="24"/>
          <w:szCs w:val="24"/>
        </w:rPr>
        <w:t>танутся целыми, что существенно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</w:t>
      </w:r>
      <w:r w:rsidRPr="00876BD8">
        <w:rPr>
          <w:rFonts w:ascii="Times New Roman" w:hAnsi="Times New Roman" w:cs="Times New Roman"/>
          <w:sz w:val="24"/>
          <w:szCs w:val="24"/>
        </w:rPr>
        <w:t xml:space="preserve">т ценность такого подхода. Кроме того, всегда остается риск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кросс-контаминации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 от образца к образцу в процессе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. Таким образом, оба эти метода лишь в некоторой степени позволяют устранить источник контаминации и не гарантируют отсутствия ложноположительных и ложноотрицательных результатов. Есть третий способ борьбы с результатами контаминации, рассматриваемый скорее как казусный – значительное уменьшение количества циклов реакции (до 25-30 циклов). Но даже при таком подходе риск получения ложноположительных и ложноотрицательных результатов велик. Наиболее радикальным подходом для решения этой проблемы, является использование флуоресцентных методов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, которые позволяют регистрировать результаты анализа, не открывая пробирки. Тем самым исключается этап электрофореза – основной источник контаминации. Для уверенности в отсутствии контаминации необходимо каждую серию экспериментов сопровождать отрицательными контролями. В качестве отрицательных контролей рекомендуется использовать воду из комнаты 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 (после каждого десятого клинического образца желательно обрабатывать вместо биологического образца пробирку с водой). Все реактивы рекомендуется хранить отдельными порциями (</w:t>
      </w:r>
      <w:proofErr w:type="spellStart"/>
      <w:r w:rsidRPr="00876BD8">
        <w:rPr>
          <w:rFonts w:ascii="Times New Roman" w:hAnsi="Times New Roman" w:cs="Times New Roman"/>
          <w:sz w:val="24"/>
          <w:szCs w:val="24"/>
        </w:rPr>
        <w:t>аликвоты</w:t>
      </w:r>
      <w:proofErr w:type="spellEnd"/>
      <w:r w:rsidRPr="00876BD8">
        <w:rPr>
          <w:rFonts w:ascii="Times New Roman" w:hAnsi="Times New Roman" w:cs="Times New Roman"/>
          <w:sz w:val="24"/>
          <w:szCs w:val="24"/>
        </w:rPr>
        <w:t xml:space="preserve">). Если, несмотря на принятые меры, обнаружены следы контаминации, то все используемые порции реактивов следует </w:t>
      </w:r>
      <w:proofErr w:type="gramStart"/>
      <w:r w:rsidRPr="00876BD8">
        <w:rPr>
          <w:rFonts w:ascii="Times New Roman" w:hAnsi="Times New Roman" w:cs="Times New Roman"/>
          <w:sz w:val="24"/>
          <w:szCs w:val="24"/>
        </w:rPr>
        <w:t>заменить на новые</w:t>
      </w:r>
      <w:proofErr w:type="gramEnd"/>
      <w:r w:rsidRPr="00876BD8">
        <w:rPr>
          <w:rFonts w:ascii="Times New Roman" w:hAnsi="Times New Roman" w:cs="Times New Roman"/>
          <w:sz w:val="24"/>
          <w:szCs w:val="24"/>
        </w:rPr>
        <w:t xml:space="preserve">, а все поверхности помещения, оборудования, пипетки и пр. обработать дезинфицирующими препаратами. </w:t>
      </w:r>
    </w:p>
    <w:p w:rsidR="00876BD8" w:rsidRDefault="00876BD8" w:rsidP="00876BD8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8A27C6" w:rsidRPr="008A27C6" w:rsidRDefault="008A27C6" w:rsidP="008A27C6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24"/>
        </w:rPr>
      </w:pPr>
      <w:r w:rsidRPr="008A27C6">
        <w:rPr>
          <w:rFonts w:ascii="Times New Roman" w:hAnsi="Times New Roman" w:cs="Times New Roman"/>
          <w:b/>
          <w:sz w:val="24"/>
        </w:rPr>
        <w:t xml:space="preserve">4. </w:t>
      </w:r>
      <w:r w:rsidRPr="008A27C6">
        <w:rPr>
          <w:rFonts w:ascii="Times New Roman" w:hAnsi="Times New Roman" w:cs="Times New Roman"/>
          <w:b/>
          <w:sz w:val="24"/>
        </w:rPr>
        <w:t xml:space="preserve">Порядок проведения </w:t>
      </w:r>
      <w:proofErr w:type="spellStart"/>
      <w:r w:rsidRPr="008A27C6">
        <w:rPr>
          <w:rFonts w:ascii="Times New Roman" w:hAnsi="Times New Roman" w:cs="Times New Roman"/>
          <w:b/>
          <w:sz w:val="24"/>
        </w:rPr>
        <w:t>деконтаминации</w:t>
      </w:r>
      <w:proofErr w:type="spellEnd"/>
      <w:r w:rsidRPr="008A27C6">
        <w:rPr>
          <w:rFonts w:ascii="Times New Roman" w:hAnsi="Times New Roman" w:cs="Times New Roman"/>
          <w:b/>
          <w:sz w:val="24"/>
        </w:rPr>
        <w:t xml:space="preserve"> согласно МУ 1.3. 2569-09 (Приложение 7).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 xml:space="preserve">1. Сотрудников, проводящих мероприятия по </w:t>
      </w:r>
      <w:proofErr w:type="spellStart"/>
      <w:r w:rsidRPr="008A27C6">
        <w:rPr>
          <w:sz w:val="24"/>
          <w:szCs w:val="24"/>
        </w:rPr>
        <w:t>деконтаминации</w:t>
      </w:r>
      <w:proofErr w:type="spellEnd"/>
      <w:r w:rsidRPr="008A27C6">
        <w:rPr>
          <w:sz w:val="24"/>
          <w:szCs w:val="24"/>
        </w:rPr>
        <w:t>, обеспечивают отдельными халатами (желательно одноразовыми), шапочками, о</w:t>
      </w:r>
      <w:r w:rsidRPr="008A27C6">
        <w:rPr>
          <w:sz w:val="24"/>
          <w:szCs w:val="24"/>
        </w:rPr>
        <w:t>д</w:t>
      </w:r>
      <w:r w:rsidRPr="008A27C6">
        <w:rPr>
          <w:sz w:val="24"/>
          <w:szCs w:val="24"/>
        </w:rPr>
        <w:t>норазовыми бахилами и перчатками, одноразовой ветошью, емкостями для приготовления необходимых количеств моющих и дезинфицирующих ра</w:t>
      </w:r>
      <w:r w:rsidRPr="008A27C6">
        <w:rPr>
          <w:sz w:val="24"/>
          <w:szCs w:val="24"/>
        </w:rPr>
        <w:t>с</w:t>
      </w:r>
      <w:r w:rsidRPr="008A27C6">
        <w:rPr>
          <w:sz w:val="24"/>
          <w:szCs w:val="24"/>
        </w:rPr>
        <w:t>творов.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>2. Каждую зону лаборатории обрабатывают сотрудники, работа</w:t>
      </w:r>
      <w:r w:rsidRPr="008A27C6">
        <w:rPr>
          <w:sz w:val="24"/>
          <w:szCs w:val="24"/>
        </w:rPr>
        <w:t>ю</w:t>
      </w:r>
      <w:r w:rsidRPr="008A27C6">
        <w:rPr>
          <w:sz w:val="24"/>
          <w:szCs w:val="24"/>
        </w:rPr>
        <w:t>щие в ней.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>3. Для обработки каждой зоны используют отдельный набор уб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>рочного инвентаря, подвергаемый после уборки обработке регламентируемыми дезинфиц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>рующими средствами.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>4. Каждую зону лаборатории разбивают на участки уборки, напр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>мер: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1 – бокс биологической безопасности и оборудование внутри него;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2 – внешние поверхности бокса биологической безопа</w:t>
      </w:r>
      <w:r w:rsidRPr="008A27C6">
        <w:rPr>
          <w:sz w:val="24"/>
          <w:szCs w:val="24"/>
        </w:rPr>
        <w:t>с</w:t>
      </w:r>
      <w:r w:rsidRPr="008A27C6">
        <w:rPr>
          <w:sz w:val="24"/>
          <w:szCs w:val="24"/>
        </w:rPr>
        <w:t>ности;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3 – шкафы для расходного материала;</w:t>
      </w:r>
    </w:p>
    <w:p w:rsidR="008A27C6" w:rsidRPr="008A27C6" w:rsidRDefault="008A27C6" w:rsidP="008A27C6">
      <w:pPr>
        <w:pStyle w:val="spisok"/>
        <w:rPr>
          <w:spacing w:val="-2"/>
          <w:sz w:val="24"/>
          <w:szCs w:val="24"/>
        </w:rPr>
      </w:pPr>
      <w:r w:rsidRPr="008A27C6">
        <w:rPr>
          <w:spacing w:val="-2"/>
          <w:sz w:val="24"/>
          <w:szCs w:val="24"/>
        </w:rPr>
        <w:t>участок 4 – холодильники для хранения реактивов, образцов проб;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5 – оборудование, которое используют в работе, но стоит оно вне бокса биологической безопа</w:t>
      </w:r>
      <w:r w:rsidRPr="008A27C6">
        <w:rPr>
          <w:sz w:val="24"/>
          <w:szCs w:val="24"/>
        </w:rPr>
        <w:t>с</w:t>
      </w:r>
      <w:r w:rsidRPr="008A27C6">
        <w:rPr>
          <w:sz w:val="24"/>
          <w:szCs w:val="24"/>
        </w:rPr>
        <w:t>ности;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6 – поверхности помещения (стены, окна, батареи, пот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>лок, двери и т. д.);</w:t>
      </w:r>
    </w:p>
    <w:p w:rsidR="008A27C6" w:rsidRPr="008A27C6" w:rsidRDefault="008A27C6" w:rsidP="008A27C6">
      <w:pPr>
        <w:pStyle w:val="spisok"/>
        <w:rPr>
          <w:sz w:val="24"/>
          <w:szCs w:val="24"/>
        </w:rPr>
      </w:pPr>
      <w:r w:rsidRPr="008A27C6">
        <w:rPr>
          <w:sz w:val="24"/>
          <w:szCs w:val="24"/>
        </w:rPr>
        <w:t>участок 7 – пол.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lastRenderedPageBreak/>
        <w:t>5. Обработку проводят от участка к участку последовательно. Ка</w:t>
      </w:r>
      <w:r w:rsidRPr="008A27C6">
        <w:rPr>
          <w:sz w:val="24"/>
          <w:szCs w:val="24"/>
        </w:rPr>
        <w:t>ж</w:t>
      </w:r>
      <w:r w:rsidRPr="008A27C6">
        <w:rPr>
          <w:sz w:val="24"/>
          <w:szCs w:val="24"/>
        </w:rPr>
        <w:t>дый участок обрабатывают отдельной ветошью. Перед обработкой готовят моющие и дезинфиц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>рующие растворы.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>6. Поверхности каждого участка вначале обрабатывают моющим раствором для удаления жировых загрязнений, после чего остатки моющего средства удал</w:t>
      </w:r>
      <w:r w:rsidRPr="008A27C6">
        <w:rPr>
          <w:sz w:val="24"/>
          <w:szCs w:val="24"/>
        </w:rPr>
        <w:t>я</w:t>
      </w:r>
      <w:r w:rsidRPr="008A27C6">
        <w:rPr>
          <w:sz w:val="24"/>
          <w:szCs w:val="24"/>
        </w:rPr>
        <w:t>ются ветошью, смоченной водой.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pacing w:val="2"/>
          <w:sz w:val="24"/>
          <w:szCs w:val="24"/>
        </w:rPr>
        <w:t>7. Затем на поверхность наносят на 30 мин 0,2 %-й раствор</w:t>
      </w:r>
      <w:r w:rsidRPr="008A27C6">
        <w:rPr>
          <w:sz w:val="24"/>
          <w:szCs w:val="24"/>
        </w:rPr>
        <w:t xml:space="preserve"> </w:t>
      </w:r>
      <w:r w:rsidRPr="008A27C6">
        <w:rPr>
          <w:sz w:val="24"/>
          <w:szCs w:val="24"/>
        </w:rPr>
        <w:br/>
        <w:t>ДП-2Т или аналогичные ему ра</w:t>
      </w:r>
      <w:r w:rsidRPr="008A27C6">
        <w:rPr>
          <w:sz w:val="24"/>
          <w:szCs w:val="24"/>
        </w:rPr>
        <w:t>с</w:t>
      </w:r>
      <w:r w:rsidRPr="008A27C6">
        <w:rPr>
          <w:sz w:val="24"/>
          <w:szCs w:val="24"/>
        </w:rPr>
        <w:t>творы, разрешенные к применению для этих целей в установленном порядке. Остатки дезинфицирующего средства тщательно удаляют ветошью, см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>ченной водой.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>8. После завершения указанной обработки проводят обеззараживание вла</w:t>
      </w:r>
      <w:r w:rsidRPr="008A27C6">
        <w:rPr>
          <w:sz w:val="24"/>
          <w:szCs w:val="24"/>
        </w:rPr>
        <w:t>ж</w:t>
      </w:r>
      <w:r w:rsidRPr="008A27C6">
        <w:rPr>
          <w:sz w:val="24"/>
          <w:szCs w:val="24"/>
        </w:rPr>
        <w:t>ных поверхностей ультрафиолетовым излучением в течение 45 мин.</w:t>
      </w:r>
    </w:p>
    <w:p w:rsidR="008A27C6" w:rsidRPr="008A27C6" w:rsidRDefault="008A27C6" w:rsidP="008A27C6">
      <w:pPr>
        <w:pStyle w:val="bodytext"/>
        <w:rPr>
          <w:sz w:val="24"/>
          <w:szCs w:val="24"/>
        </w:rPr>
      </w:pPr>
      <w:r w:rsidRPr="008A27C6">
        <w:rPr>
          <w:sz w:val="24"/>
          <w:szCs w:val="24"/>
        </w:rPr>
        <w:t xml:space="preserve">9. Мероприятия, описанные в </w:t>
      </w:r>
      <w:proofErr w:type="spellStart"/>
      <w:r w:rsidRPr="008A27C6">
        <w:rPr>
          <w:sz w:val="24"/>
          <w:szCs w:val="24"/>
        </w:rPr>
        <w:t>п.п</w:t>
      </w:r>
      <w:proofErr w:type="spellEnd"/>
      <w:r w:rsidRPr="008A27C6">
        <w:rPr>
          <w:sz w:val="24"/>
          <w:szCs w:val="24"/>
        </w:rPr>
        <w:t>. 7 и 8, повторяют еще раз.</w:t>
      </w:r>
    </w:p>
    <w:p w:rsidR="008A27C6" w:rsidRPr="008A27C6" w:rsidRDefault="008A27C6" w:rsidP="008A27C6">
      <w:pPr>
        <w:pStyle w:val="bodytext"/>
        <w:ind w:firstLine="312"/>
        <w:rPr>
          <w:sz w:val="24"/>
          <w:szCs w:val="24"/>
        </w:rPr>
      </w:pPr>
      <w:r w:rsidRPr="008A27C6">
        <w:rPr>
          <w:sz w:val="24"/>
          <w:szCs w:val="24"/>
        </w:rPr>
        <w:t xml:space="preserve">10. По завершении </w:t>
      </w:r>
      <w:proofErr w:type="spellStart"/>
      <w:r w:rsidRPr="008A27C6">
        <w:rPr>
          <w:sz w:val="24"/>
          <w:szCs w:val="24"/>
        </w:rPr>
        <w:t>деконтаминации</w:t>
      </w:r>
      <w:proofErr w:type="spellEnd"/>
      <w:r w:rsidRPr="008A27C6">
        <w:rPr>
          <w:sz w:val="24"/>
          <w:szCs w:val="24"/>
        </w:rPr>
        <w:t xml:space="preserve"> берут повторные смывы, кот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 xml:space="preserve">рые исследуют на наличие нуклеиновых кислот и (или) </w:t>
      </w:r>
      <w:proofErr w:type="spellStart"/>
      <w:r w:rsidRPr="008A27C6">
        <w:rPr>
          <w:sz w:val="24"/>
          <w:szCs w:val="24"/>
        </w:rPr>
        <w:t>ампликонов</w:t>
      </w:r>
      <w:proofErr w:type="spellEnd"/>
      <w:r w:rsidRPr="008A27C6">
        <w:rPr>
          <w:sz w:val="24"/>
          <w:szCs w:val="24"/>
        </w:rPr>
        <w:t xml:space="preserve"> во</w:t>
      </w:r>
      <w:r w:rsidRPr="008A27C6">
        <w:rPr>
          <w:sz w:val="24"/>
          <w:szCs w:val="24"/>
        </w:rPr>
        <w:t>з</w:t>
      </w:r>
      <w:r w:rsidRPr="008A27C6">
        <w:rPr>
          <w:sz w:val="24"/>
          <w:szCs w:val="24"/>
        </w:rPr>
        <w:t>будителей инфекционных заболеваний, диагностика которых наиболее часто осуществляется в данной лаборатории, с учетом длины специф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>ческих фрагментов амплификации нуклеиновых кислот возбудителей, указанных в инструкциях по применению к наб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>ру реагентов.</w:t>
      </w:r>
    </w:p>
    <w:p w:rsidR="008A27C6" w:rsidRPr="008A27C6" w:rsidRDefault="008A27C6" w:rsidP="008A27C6">
      <w:pPr>
        <w:pStyle w:val="bodytext"/>
        <w:ind w:firstLine="312"/>
        <w:rPr>
          <w:sz w:val="24"/>
          <w:szCs w:val="24"/>
        </w:rPr>
      </w:pPr>
      <w:r w:rsidRPr="008A27C6">
        <w:rPr>
          <w:sz w:val="24"/>
          <w:szCs w:val="24"/>
        </w:rPr>
        <w:t>11. Для проведения смывов используют отдельные стерильные зо</w:t>
      </w:r>
      <w:r w:rsidRPr="008A27C6">
        <w:rPr>
          <w:sz w:val="24"/>
          <w:szCs w:val="24"/>
        </w:rPr>
        <w:t>н</w:t>
      </w:r>
      <w:r w:rsidRPr="008A27C6">
        <w:rPr>
          <w:sz w:val="24"/>
          <w:szCs w:val="24"/>
        </w:rPr>
        <w:t xml:space="preserve">ды с ватным тампоном, которые смачивают в 0,9 %-м растворе натрия хлорида или ТЕ-буфере (10 </w:t>
      </w:r>
      <w:proofErr w:type="spellStart"/>
      <w:r w:rsidRPr="008A27C6">
        <w:rPr>
          <w:sz w:val="24"/>
          <w:szCs w:val="24"/>
        </w:rPr>
        <w:t>мМ</w:t>
      </w:r>
      <w:proofErr w:type="spellEnd"/>
      <w:r w:rsidRPr="008A27C6">
        <w:rPr>
          <w:sz w:val="24"/>
          <w:szCs w:val="24"/>
        </w:rPr>
        <w:t xml:space="preserve"> </w:t>
      </w:r>
      <w:proofErr w:type="spellStart"/>
      <w:r w:rsidRPr="008A27C6">
        <w:rPr>
          <w:sz w:val="24"/>
          <w:szCs w:val="24"/>
        </w:rPr>
        <w:t>Трис</w:t>
      </w:r>
      <w:proofErr w:type="spellEnd"/>
      <w:r w:rsidRPr="008A27C6">
        <w:rPr>
          <w:sz w:val="24"/>
          <w:szCs w:val="24"/>
        </w:rPr>
        <w:t xml:space="preserve">, 1 </w:t>
      </w:r>
      <w:proofErr w:type="spellStart"/>
      <w:r w:rsidRPr="008A27C6">
        <w:rPr>
          <w:sz w:val="24"/>
          <w:szCs w:val="24"/>
        </w:rPr>
        <w:t>мМ</w:t>
      </w:r>
      <w:proofErr w:type="spellEnd"/>
      <w:r w:rsidRPr="008A27C6">
        <w:rPr>
          <w:sz w:val="24"/>
          <w:szCs w:val="24"/>
        </w:rPr>
        <w:t xml:space="preserve"> ЭДТА) и вращательными движениями протирают рабочие поверхности оборудования, мебели, две</w:t>
      </w:r>
      <w:r w:rsidRPr="008A27C6">
        <w:rPr>
          <w:sz w:val="24"/>
          <w:szCs w:val="24"/>
        </w:rPr>
        <w:t>р</w:t>
      </w:r>
      <w:r w:rsidRPr="008A27C6">
        <w:rPr>
          <w:sz w:val="24"/>
          <w:szCs w:val="24"/>
        </w:rPr>
        <w:t xml:space="preserve">ных ручек, косяков, телефонов и т. п. в течение 10—15 с, особое </w:t>
      </w:r>
      <w:proofErr w:type="gramStart"/>
      <w:r w:rsidRPr="008A27C6">
        <w:rPr>
          <w:sz w:val="24"/>
          <w:szCs w:val="24"/>
        </w:rPr>
        <w:t>вним</w:t>
      </w:r>
      <w:r w:rsidRPr="008A27C6">
        <w:rPr>
          <w:sz w:val="24"/>
          <w:szCs w:val="24"/>
        </w:rPr>
        <w:t>а</w:t>
      </w:r>
      <w:r w:rsidRPr="008A27C6">
        <w:rPr>
          <w:sz w:val="24"/>
          <w:szCs w:val="24"/>
        </w:rPr>
        <w:t>ние</w:t>
      </w:r>
      <w:proofErr w:type="gramEnd"/>
      <w:r w:rsidRPr="008A27C6">
        <w:rPr>
          <w:sz w:val="24"/>
          <w:szCs w:val="24"/>
        </w:rPr>
        <w:t xml:space="preserve"> уделяя помещениям совместного посещения работников зоны </w:t>
      </w:r>
      <w:proofErr w:type="spellStart"/>
      <w:r w:rsidRPr="008A27C6">
        <w:rPr>
          <w:sz w:val="24"/>
          <w:szCs w:val="24"/>
        </w:rPr>
        <w:t>детекции</w:t>
      </w:r>
      <w:proofErr w:type="spellEnd"/>
      <w:r w:rsidRPr="008A27C6">
        <w:rPr>
          <w:sz w:val="24"/>
          <w:szCs w:val="24"/>
        </w:rPr>
        <w:t xml:space="preserve"> продуктов амплификации и других сотрудников лабор</w:t>
      </w:r>
      <w:r w:rsidRPr="008A27C6">
        <w:rPr>
          <w:sz w:val="24"/>
          <w:szCs w:val="24"/>
        </w:rPr>
        <w:t>а</w:t>
      </w:r>
      <w:r w:rsidRPr="008A27C6">
        <w:rPr>
          <w:sz w:val="24"/>
          <w:szCs w:val="24"/>
        </w:rPr>
        <w:t xml:space="preserve">тории (столовая, санузел и т. п.). После взятия смыва зонд помещают в </w:t>
      </w:r>
      <w:proofErr w:type="spellStart"/>
      <w:r w:rsidRPr="008A27C6">
        <w:rPr>
          <w:sz w:val="24"/>
          <w:szCs w:val="24"/>
        </w:rPr>
        <w:t>микропробирки</w:t>
      </w:r>
      <w:proofErr w:type="spellEnd"/>
      <w:r w:rsidRPr="008A27C6">
        <w:rPr>
          <w:sz w:val="24"/>
          <w:szCs w:val="24"/>
        </w:rPr>
        <w:t xml:space="preserve"> объемом 1,5 мл с 300—400 </w:t>
      </w:r>
      <w:proofErr w:type="spellStart"/>
      <w:r w:rsidRPr="008A27C6">
        <w:rPr>
          <w:sz w:val="24"/>
          <w:szCs w:val="24"/>
        </w:rPr>
        <w:t>мкл</w:t>
      </w:r>
      <w:proofErr w:type="spellEnd"/>
      <w:r w:rsidRPr="008A27C6">
        <w:rPr>
          <w:sz w:val="24"/>
          <w:szCs w:val="24"/>
        </w:rPr>
        <w:t xml:space="preserve"> ТЕ-буфера или 0,9 %-м раствором натрия хлорида, вращают в течение 10—15 с, избегая разбрызг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 xml:space="preserve">вания раствора, и, отжав избыток жидкости о стенки пробирки, удаляют. Полученные суспензии перемешивают на </w:t>
      </w:r>
      <w:proofErr w:type="spellStart"/>
      <w:r w:rsidRPr="008A27C6">
        <w:rPr>
          <w:sz w:val="24"/>
          <w:szCs w:val="24"/>
        </w:rPr>
        <w:t>вортексе</w:t>
      </w:r>
      <w:proofErr w:type="spellEnd"/>
      <w:r w:rsidRPr="008A27C6">
        <w:rPr>
          <w:sz w:val="24"/>
          <w:szCs w:val="24"/>
        </w:rPr>
        <w:t xml:space="preserve"> в теч</w:t>
      </w:r>
      <w:r w:rsidRPr="008A27C6">
        <w:rPr>
          <w:sz w:val="24"/>
          <w:szCs w:val="24"/>
        </w:rPr>
        <w:t>е</w:t>
      </w:r>
      <w:r w:rsidRPr="008A27C6">
        <w:rPr>
          <w:sz w:val="24"/>
          <w:szCs w:val="24"/>
        </w:rPr>
        <w:t>ние 1 мин. Для постановки реакции амплификации используют необход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>мый объем жидкости в соответствии с инструкцией по применению к набору реагентов. После получения результатов смывов офор</w:t>
      </w:r>
      <w:r w:rsidRPr="008A27C6">
        <w:rPr>
          <w:sz w:val="24"/>
          <w:szCs w:val="24"/>
        </w:rPr>
        <w:t>м</w:t>
      </w:r>
      <w:r w:rsidRPr="008A27C6">
        <w:rPr>
          <w:sz w:val="24"/>
          <w:szCs w:val="24"/>
        </w:rPr>
        <w:t>ляется протокол.</w:t>
      </w:r>
    </w:p>
    <w:p w:rsidR="008A27C6" w:rsidRPr="008A27C6" w:rsidRDefault="008A27C6" w:rsidP="008A27C6">
      <w:pPr>
        <w:pStyle w:val="bodytext"/>
        <w:ind w:firstLine="312"/>
        <w:rPr>
          <w:sz w:val="24"/>
          <w:szCs w:val="24"/>
        </w:rPr>
      </w:pPr>
      <w:r w:rsidRPr="008A27C6">
        <w:rPr>
          <w:sz w:val="24"/>
          <w:szCs w:val="24"/>
        </w:rPr>
        <w:t>12. В случае получения в образцах смывов положительных результатов амплификации обр</w:t>
      </w:r>
      <w:r w:rsidRPr="008A27C6">
        <w:rPr>
          <w:sz w:val="24"/>
          <w:szCs w:val="24"/>
        </w:rPr>
        <w:t>а</w:t>
      </w:r>
      <w:r w:rsidRPr="008A27C6">
        <w:rPr>
          <w:sz w:val="24"/>
          <w:szCs w:val="24"/>
        </w:rPr>
        <w:t>ботку повторяют.</w:t>
      </w:r>
    </w:p>
    <w:p w:rsidR="008A27C6" w:rsidRPr="008A27C6" w:rsidRDefault="008A27C6" w:rsidP="008A27C6">
      <w:pPr>
        <w:pStyle w:val="bodytext"/>
        <w:ind w:firstLine="312"/>
        <w:rPr>
          <w:sz w:val="24"/>
          <w:szCs w:val="24"/>
        </w:rPr>
      </w:pPr>
      <w:r w:rsidRPr="008A27C6">
        <w:rPr>
          <w:sz w:val="24"/>
          <w:szCs w:val="24"/>
        </w:rPr>
        <w:t>13. Загрязненный расходный материал (пробирки, наконечники, реактивы и т. п.) и контамин</w:t>
      </w:r>
      <w:r w:rsidRPr="008A27C6">
        <w:rPr>
          <w:sz w:val="24"/>
          <w:szCs w:val="24"/>
        </w:rPr>
        <w:t>и</w:t>
      </w:r>
      <w:r w:rsidRPr="008A27C6">
        <w:rPr>
          <w:sz w:val="24"/>
          <w:szCs w:val="24"/>
        </w:rPr>
        <w:t xml:space="preserve">рованный  рабочий исследуемый материал (кроме исходного материала) обеззараживают через </w:t>
      </w:r>
      <w:proofErr w:type="spellStart"/>
      <w:r w:rsidRPr="008A27C6">
        <w:rPr>
          <w:sz w:val="24"/>
          <w:szCs w:val="24"/>
        </w:rPr>
        <w:t>авт</w:t>
      </w:r>
      <w:r w:rsidRPr="008A27C6">
        <w:rPr>
          <w:sz w:val="24"/>
          <w:szCs w:val="24"/>
        </w:rPr>
        <w:t>о</w:t>
      </w:r>
      <w:r w:rsidRPr="008A27C6">
        <w:rPr>
          <w:sz w:val="24"/>
          <w:szCs w:val="24"/>
        </w:rPr>
        <w:t>клавирование</w:t>
      </w:r>
      <w:proofErr w:type="spellEnd"/>
      <w:r w:rsidRPr="008A27C6">
        <w:rPr>
          <w:sz w:val="24"/>
          <w:szCs w:val="24"/>
        </w:rPr>
        <w:t xml:space="preserve"> в соответствии с п. 1. прилож. 6.</w:t>
      </w:r>
    </w:p>
    <w:p w:rsidR="008A27C6" w:rsidRPr="008A27C6" w:rsidRDefault="008A27C6" w:rsidP="008A27C6">
      <w:pPr>
        <w:pStyle w:val="bodytext"/>
        <w:ind w:firstLine="312"/>
        <w:rPr>
          <w:sz w:val="24"/>
          <w:szCs w:val="24"/>
        </w:rPr>
      </w:pPr>
      <w:r w:rsidRPr="008A27C6">
        <w:rPr>
          <w:sz w:val="24"/>
          <w:szCs w:val="24"/>
        </w:rPr>
        <w:t xml:space="preserve">14. Случаи контаминации регистрируют в специальном журнале с указанием мероприятий по ее устранению и результатов </w:t>
      </w:r>
      <w:proofErr w:type="spellStart"/>
      <w:r w:rsidRPr="008A27C6">
        <w:rPr>
          <w:sz w:val="24"/>
          <w:szCs w:val="24"/>
        </w:rPr>
        <w:t>внутрилабораторного</w:t>
      </w:r>
      <w:proofErr w:type="spellEnd"/>
      <w:r w:rsidRPr="008A27C6">
        <w:rPr>
          <w:sz w:val="24"/>
          <w:szCs w:val="24"/>
        </w:rPr>
        <w:t xml:space="preserve"> ко</w:t>
      </w:r>
      <w:r w:rsidRPr="008A27C6">
        <w:rPr>
          <w:sz w:val="24"/>
          <w:szCs w:val="24"/>
        </w:rPr>
        <w:t>н</w:t>
      </w:r>
      <w:r w:rsidRPr="008A27C6">
        <w:rPr>
          <w:sz w:val="24"/>
          <w:szCs w:val="24"/>
        </w:rPr>
        <w:t>троля.</w:t>
      </w:r>
    </w:p>
    <w:p w:rsidR="008A27C6" w:rsidRPr="008A27C6" w:rsidRDefault="008A27C6" w:rsidP="008A2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7C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11BD" wp14:editId="16697CB8">
                <wp:simplePos x="0" y="0"/>
                <wp:positionH relativeFrom="column">
                  <wp:posOffset>2774950</wp:posOffset>
                </wp:positionH>
                <wp:positionV relativeFrom="paragraph">
                  <wp:posOffset>781685</wp:posOffset>
                </wp:positionV>
                <wp:extent cx="1343660" cy="342265"/>
                <wp:effectExtent l="1270" t="0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8.5pt;margin-top:61.55pt;width:105.8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" stroked="f"/>
            </w:pict>
          </mc:Fallback>
        </mc:AlternateContent>
      </w:r>
      <w:r w:rsidRPr="008A27C6">
        <w:rPr>
          <w:rFonts w:ascii="Times New Roman" w:hAnsi="Times New Roman" w:cs="Times New Roman"/>
          <w:sz w:val="24"/>
          <w:szCs w:val="24"/>
        </w:rPr>
        <w:t xml:space="preserve">15. Проведение работ, связанных с амплификацией нуклеиновых кислот, до завершения </w:t>
      </w:r>
      <w:proofErr w:type="spellStart"/>
      <w:r w:rsidRPr="008A27C6">
        <w:rPr>
          <w:rFonts w:ascii="Times New Roman" w:hAnsi="Times New Roman" w:cs="Times New Roman"/>
          <w:sz w:val="24"/>
          <w:szCs w:val="24"/>
        </w:rPr>
        <w:t>деконтаминационных</w:t>
      </w:r>
      <w:proofErr w:type="spellEnd"/>
      <w:r w:rsidRPr="008A27C6">
        <w:rPr>
          <w:rFonts w:ascii="Times New Roman" w:hAnsi="Times New Roman" w:cs="Times New Roman"/>
          <w:sz w:val="24"/>
          <w:szCs w:val="24"/>
        </w:rPr>
        <w:t xml:space="preserve"> мероприятий в лаборатории не допускае</w:t>
      </w:r>
      <w:r w:rsidRPr="008A27C6">
        <w:rPr>
          <w:rFonts w:ascii="Times New Roman" w:hAnsi="Times New Roman" w:cs="Times New Roman"/>
          <w:sz w:val="24"/>
          <w:szCs w:val="24"/>
        </w:rPr>
        <w:t>т</w:t>
      </w:r>
      <w:r w:rsidRPr="008A27C6">
        <w:rPr>
          <w:rFonts w:ascii="Times New Roman" w:hAnsi="Times New Roman" w:cs="Times New Roman"/>
          <w:sz w:val="24"/>
          <w:szCs w:val="24"/>
        </w:rPr>
        <w:t>ся.</w:t>
      </w:r>
    </w:p>
    <w:sectPr w:rsidR="008A27C6" w:rsidRPr="008A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66B"/>
    <w:multiLevelType w:val="hybridMultilevel"/>
    <w:tmpl w:val="09905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8CF"/>
    <w:multiLevelType w:val="hybridMultilevel"/>
    <w:tmpl w:val="7F08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F2588"/>
    <w:multiLevelType w:val="hybridMultilevel"/>
    <w:tmpl w:val="2D662D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BB900C7"/>
    <w:multiLevelType w:val="hybridMultilevel"/>
    <w:tmpl w:val="1C98357E"/>
    <w:lvl w:ilvl="0" w:tplc="66D8CB38">
      <w:start w:val="1"/>
      <w:numFmt w:val="bullet"/>
      <w:pStyle w:val="spisok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73"/>
    <w:rsid w:val="0083408C"/>
    <w:rsid w:val="00876BD8"/>
    <w:rsid w:val="008A27C6"/>
    <w:rsid w:val="00F0725F"/>
    <w:rsid w:val="00F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73"/>
    <w:pPr>
      <w:ind w:left="720"/>
      <w:contextualSpacing/>
    </w:pPr>
  </w:style>
  <w:style w:type="paragraph" w:customStyle="1" w:styleId="bodytext">
    <w:name w:val="body text"/>
    <w:next w:val="a"/>
    <w:rsid w:val="008A27C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pisok">
    <w:name w:val="spisok"/>
    <w:basedOn w:val="a"/>
    <w:rsid w:val="008A27C6"/>
    <w:pPr>
      <w:numPr>
        <w:numId w:val="3"/>
      </w:numPr>
      <w:tabs>
        <w:tab w:val="left" w:pos="567"/>
      </w:tabs>
      <w:spacing w:after="0" w:line="235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pril">
    <w:name w:val="Zag_pril"/>
    <w:basedOn w:val="a"/>
    <w:rsid w:val="008A27C6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styleId="a4">
    <w:name w:val="Hyperlink"/>
    <w:basedOn w:val="a0"/>
    <w:uiPriority w:val="99"/>
    <w:unhideWhenUsed/>
    <w:rsid w:val="00834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73"/>
    <w:pPr>
      <w:ind w:left="720"/>
      <w:contextualSpacing/>
    </w:pPr>
  </w:style>
  <w:style w:type="paragraph" w:customStyle="1" w:styleId="bodytext">
    <w:name w:val="body text"/>
    <w:next w:val="a"/>
    <w:rsid w:val="008A27C6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pisok">
    <w:name w:val="spisok"/>
    <w:basedOn w:val="a"/>
    <w:rsid w:val="008A27C6"/>
    <w:pPr>
      <w:numPr>
        <w:numId w:val="3"/>
      </w:numPr>
      <w:tabs>
        <w:tab w:val="left" w:pos="567"/>
      </w:tabs>
      <w:spacing w:after="0" w:line="235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pril">
    <w:name w:val="Zag_pril"/>
    <w:basedOn w:val="a"/>
    <w:rsid w:val="008A27C6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styleId="a4">
    <w:name w:val="Hyperlink"/>
    <w:basedOn w:val="a0"/>
    <w:uiPriority w:val="99"/>
    <w:unhideWhenUsed/>
    <w:rsid w:val="00834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Dr@gon</dc:creator>
  <cp:lastModifiedBy>Dr@gon</cp:lastModifiedBy>
  <cp:revision>5</cp:revision>
  <dcterms:created xsi:type="dcterms:W3CDTF">2018-09-16T11:45:00Z</dcterms:created>
  <dcterms:modified xsi:type="dcterms:W3CDTF">2018-09-16T12:20:00Z</dcterms:modified>
</cp:coreProperties>
</file>