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7D" w:rsidRPr="0032527D" w:rsidRDefault="0032527D" w:rsidP="0032527D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2527D">
        <w:rPr>
          <w:rFonts w:ascii="Times New Roman" w:hAnsi="Times New Roman" w:cs="Times New Roman"/>
          <w:b/>
          <w:sz w:val="24"/>
          <w:szCs w:val="24"/>
        </w:rPr>
        <w:t>Занятие 13.</w:t>
      </w:r>
    </w:p>
    <w:p w:rsidR="0032527D" w:rsidRPr="0032527D" w:rsidRDefault="0032527D" w:rsidP="0032527D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2527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32527D">
        <w:rPr>
          <w:rFonts w:ascii="Times New Roman" w:hAnsi="Times New Roman" w:cs="Times New Roman"/>
          <w:b/>
          <w:sz w:val="24"/>
          <w:szCs w:val="24"/>
        </w:rPr>
        <w:t xml:space="preserve">Ошибки, приводящие к получению ложноположительных и ложноотрицательных результатов ПЦР. </w:t>
      </w:r>
    </w:p>
    <w:p w:rsidR="0032527D" w:rsidRPr="0032527D" w:rsidRDefault="0032527D" w:rsidP="003252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b/>
          <w:sz w:val="24"/>
          <w:szCs w:val="24"/>
        </w:rPr>
        <w:t>Вопросы, рассматриваемые на занятии:</w:t>
      </w:r>
    </w:p>
    <w:p w:rsidR="0032527D" w:rsidRPr="0032527D" w:rsidRDefault="0032527D" w:rsidP="003252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Ошибки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преаналитического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этапа: место в</w:t>
      </w:r>
      <w:r w:rsidRPr="0032527D">
        <w:rPr>
          <w:rFonts w:ascii="Times New Roman" w:hAnsi="Times New Roman" w:cs="Times New Roman"/>
          <w:sz w:val="24"/>
          <w:szCs w:val="24"/>
        </w:rPr>
        <w:t xml:space="preserve">зятия биологического материала; </w:t>
      </w:r>
      <w:r w:rsidRPr="0032527D">
        <w:rPr>
          <w:rFonts w:ascii="Times New Roman" w:hAnsi="Times New Roman" w:cs="Times New Roman"/>
          <w:sz w:val="24"/>
          <w:szCs w:val="24"/>
        </w:rPr>
        <w:t>правильность взятия биологического материала; хра</w:t>
      </w:r>
      <w:r w:rsidRPr="0032527D">
        <w:rPr>
          <w:rFonts w:ascii="Times New Roman" w:hAnsi="Times New Roman" w:cs="Times New Roman"/>
          <w:sz w:val="24"/>
          <w:szCs w:val="24"/>
        </w:rPr>
        <w:t>нение биологического материала.</w:t>
      </w:r>
    </w:p>
    <w:p w:rsidR="0032527D" w:rsidRPr="0032527D" w:rsidRDefault="0032527D" w:rsidP="003252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Методика получения образцов биологического материала. Идентификация образца. Приемлемость образца. Образцы, непригодные для исследования.</w:t>
      </w:r>
    </w:p>
    <w:p w:rsidR="0032527D" w:rsidRPr="0032527D" w:rsidRDefault="0032527D" w:rsidP="003252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Ошибки аналитического этапа: выбор системы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; технологические ошибки. </w:t>
      </w:r>
    </w:p>
    <w:p w:rsidR="0032527D" w:rsidRPr="0032527D" w:rsidRDefault="0032527D" w:rsidP="003252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Ошибки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постаналитического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этапа: ошибки интерпретации результатов ПЦР. </w:t>
      </w:r>
    </w:p>
    <w:p w:rsidR="0032527D" w:rsidRPr="0032527D" w:rsidRDefault="0032527D" w:rsidP="0032527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Интерпретация при несовпадении результатов при использовании ПЦР и ИФА.</w:t>
      </w:r>
    </w:p>
    <w:p w:rsidR="0032527D" w:rsidRPr="0032527D" w:rsidRDefault="0032527D" w:rsidP="0032527D">
      <w:pPr>
        <w:pStyle w:val="a3"/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2527D">
        <w:rPr>
          <w:rFonts w:ascii="Times New Roman" w:hAnsi="Times New Roman" w:cs="Times New Roman"/>
          <w:b/>
          <w:sz w:val="24"/>
          <w:szCs w:val="24"/>
        </w:rPr>
        <w:t>Ошибки ПЦР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32527D">
        <w:rPr>
          <w:rFonts w:ascii="Times New Roman" w:hAnsi="Times New Roman" w:cs="Times New Roman"/>
          <w:sz w:val="24"/>
          <w:szCs w:val="24"/>
        </w:rPr>
        <w:t>Выделяют три основных этапа при подготовке и проведении анализа методом ПЦР, в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наиболее часто допускают ошибки, приводящие к получению ложноположительных и ложноотрицательных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результатов:</w:t>
      </w:r>
      <w:proofErr w:type="gramEnd"/>
    </w:p>
    <w:p w:rsidR="0032527D" w:rsidRDefault="0032527D" w:rsidP="0032527D">
      <w:pPr>
        <w:pStyle w:val="a3"/>
        <w:numPr>
          <w:ilvl w:val="0"/>
          <w:numId w:val="3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Преаналитический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32527D" w:rsidRDefault="0032527D" w:rsidP="0032527D">
      <w:pPr>
        <w:pStyle w:val="a3"/>
        <w:numPr>
          <w:ilvl w:val="0"/>
          <w:numId w:val="3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Аналитический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этап</w:t>
      </w:r>
      <w:proofErr w:type="spellEnd"/>
    </w:p>
    <w:p w:rsidR="0032527D" w:rsidRDefault="0032527D" w:rsidP="0032527D">
      <w:pPr>
        <w:pStyle w:val="a3"/>
        <w:numPr>
          <w:ilvl w:val="0"/>
          <w:numId w:val="3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Постаналитический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32527D" w:rsidRPr="0032527D" w:rsidRDefault="0032527D" w:rsidP="003252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665" w:rsidRPr="0032527D" w:rsidRDefault="0032527D" w:rsidP="006226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2527D">
        <w:rPr>
          <w:rFonts w:ascii="Times New Roman" w:hAnsi="Times New Roman" w:cs="Times New Roman"/>
          <w:b/>
          <w:sz w:val="24"/>
          <w:szCs w:val="24"/>
        </w:rPr>
        <w:t xml:space="preserve">Ошибки </w:t>
      </w:r>
      <w:proofErr w:type="spellStart"/>
      <w:r w:rsidRPr="0032527D">
        <w:rPr>
          <w:rFonts w:ascii="Times New Roman" w:hAnsi="Times New Roman" w:cs="Times New Roman"/>
          <w:b/>
          <w:sz w:val="24"/>
          <w:szCs w:val="24"/>
        </w:rPr>
        <w:t>преаналитического</w:t>
      </w:r>
      <w:proofErr w:type="spellEnd"/>
      <w:r w:rsidRPr="0032527D">
        <w:rPr>
          <w:rFonts w:ascii="Times New Roman" w:hAnsi="Times New Roman" w:cs="Times New Roman"/>
          <w:b/>
          <w:sz w:val="24"/>
          <w:szCs w:val="24"/>
        </w:rPr>
        <w:t xml:space="preserve"> этапа: место взятия биологического материала; правильность взятия биологического материала; хранение биологического мат</w:t>
      </w:r>
      <w:r w:rsidRPr="00622665">
        <w:rPr>
          <w:rFonts w:ascii="Times New Roman" w:hAnsi="Times New Roman" w:cs="Times New Roman"/>
          <w:b/>
          <w:sz w:val="24"/>
          <w:szCs w:val="24"/>
        </w:rPr>
        <w:t>ериала.</w:t>
      </w:r>
      <w:r w:rsidR="00622665" w:rsidRPr="00622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665" w:rsidRPr="00622665">
        <w:rPr>
          <w:rFonts w:ascii="Times New Roman" w:hAnsi="Times New Roman" w:cs="Times New Roman"/>
          <w:b/>
          <w:sz w:val="24"/>
          <w:szCs w:val="24"/>
        </w:rPr>
        <w:t>Методика получения образцов биологического материала. Идентификация образца. Приемлемость образца. Образцы, непригодные для исследования.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Данный этап включает взятие биоматериала, его хранение и транспортировку,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пробоподготовку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(СП 1.2.036-95, СП 1.3.1285-03 и СП 1.3.2322-08).</w:t>
      </w:r>
    </w:p>
    <w:p w:rsidR="0032527D" w:rsidRPr="003A6D81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A6D81">
        <w:rPr>
          <w:rFonts w:ascii="Times New Roman" w:hAnsi="Times New Roman" w:cs="Times New Roman"/>
          <w:b/>
          <w:sz w:val="24"/>
          <w:szCs w:val="24"/>
        </w:rPr>
        <w:t>Место взятия биологического материала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 первую очередь, необходимо правильно определить место взятия биологического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для исследования, а именно: место предполагаемой локализации инфекционного процесса.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В первую очередь, это касается тех микроорганизмов, для которых известна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тропность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ко многим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видам тканей, например,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M.tuberculosis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(обусловливает развитие внелегочных форм туберкулеза,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числе: органов пищеварительной и мочеполовой систем; центральной нервной системы и мозговых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оболочек; костей и суставов; кожи; глаз);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C.trachomatis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(вызывает воспалительные заболевания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экстрагенитальной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локализации – воспалительные заболевания органов малого таза и брюшины, и восходящий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инфекционный процесс – поражения слизистой оболочки матки, труб, яичников,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околоматочных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связок). Исходя из этого, выбор универсального материала, например, мокроты для выявления кислотоустойчивых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микобактерий, либо соскоба из влагалища, цервикального или мочеиспускательного каналов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C.trachomatis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может привести к ложноотрицательным результатам в ПЦР.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lastRenderedPageBreak/>
        <w:t>Кроме того, распространенным, но при этом ошибочным является подход к выявлению спектра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патогенных микроорганизмов, особенно возбудителей инфекций, передающихся половым путем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(ИППП), в крови пациента. Необходимо учитывать, что для большинства возбудителей ИППП гематогенный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путь распространения не является основным, либо не доказан, соответственно, кровь, как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 для исследования, не является пригодной.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Кроме того, даже в случае присутствия в крови отдельных клеток микроорганизмов – возбудителей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ИППП, вероятность их обнаружения крайне мала, поскольку оказывается ниже предела чувствительности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стандартных тест-систем.</w:t>
      </w:r>
    </w:p>
    <w:p w:rsidR="0032527D" w:rsidRPr="003A6D81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A6D81">
        <w:rPr>
          <w:rFonts w:ascii="Times New Roman" w:hAnsi="Times New Roman" w:cs="Times New Roman"/>
          <w:b/>
          <w:sz w:val="24"/>
          <w:szCs w:val="24"/>
        </w:rPr>
        <w:t>Правильность взятия биологического материала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Второй распространенной ошибкой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преаналитического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этапа является неправильное взятие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материала на исследование. Даже при правильном определении места взятия материала необходимо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учитывать тот факт, что он должен содержать максимальную концентрацию искомых микроорганизмов,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 также быть лишен нежелательных примесей, ингибирующих ПЦР.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Так при исследовании на наличие внутриклеточных патогенов, проба должна содержать максимальное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количество клеток, например, эпителиальных для выявления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C.trachomatis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ВПЧ. Для выявления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вируса Эпштейн-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Барр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(ВЭБ)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цитомегаловируса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(ЦМВ) целесообразно использовать лейкоцитарную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массу крови. Принципиальным является также стадия заболевания, а именно: осуществляется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ли взятие материала в период ремиссии или обострения, что напрямую влияет на концентрацию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искомых микроорганизмов в пробе.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Кроме того, необходимо минимизировать количество примесей в пробе, например, слизи, гноя и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крови в эпителиальном соскобе, для чего их избыток необходимо удалить стерильным ватным тампоном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непосредственно перед взятием образца.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Таким образом, следующей распространенной ошибкой может стать неправильная обработка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материала.</w:t>
      </w:r>
    </w:p>
    <w:p w:rsidR="0032527D" w:rsidRPr="003A6D81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A6D81">
        <w:rPr>
          <w:rFonts w:ascii="Times New Roman" w:hAnsi="Times New Roman" w:cs="Times New Roman"/>
          <w:b/>
          <w:sz w:val="24"/>
          <w:szCs w:val="24"/>
        </w:rPr>
        <w:t>Обработка биологического материала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При работе с кровью важно учитывать тот факт, что для предотвращения ее свертывания в процессе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доставки необходимо использовать антикоагулянты. Однако, наиболее распространенный антикоагулянт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– гепарин является мощным ингибитором ПЦР, поэтому его использование в данном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случае недопустимо.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Относительно гепарина следует заметить, что его присутствие в крови у пациентов, находящихся на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антикоагулянтной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терапии, также может привести к получению недостоверных результатов в ПЦР, поэтому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забор крови у таких пациентов рекомендовано проводить до очередного введения препарата.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При необходимости использовать в качестве материала для исследования мочу (клеточный осадок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первой порции утренней мочи) важно тщательно промыть пробу физиологическим раствором.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Это обусловлено тем, что осадок содержит большое количество солей и мочевины, которые, при использовании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технологий флуоресцентной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детекции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денатурируют зонды, приводя к ложноположительным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результатам.</w:t>
      </w:r>
    </w:p>
    <w:p w:rsidR="0032527D" w:rsidRPr="003A6D81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3A6D81">
        <w:rPr>
          <w:rFonts w:ascii="Times New Roman" w:hAnsi="Times New Roman" w:cs="Times New Roman"/>
          <w:b/>
          <w:sz w:val="24"/>
          <w:szCs w:val="24"/>
        </w:rPr>
        <w:t>Хранение биологического материала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Принципиальным для получения адекватных результатов ПЦР является хранение биологического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lastRenderedPageBreak/>
        <w:t>Необходимо помнить о температуре хранения биологического материала, а также сроках и способах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его доставки в ПЦР-лабораторию в случае, если транспортировка требует значительного времени. При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нарушении сроков хранения или транспортировки биоматериала ДНК или РНК возбудителя могут разрушаться,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что приведет к ложноотрицательным результатам. Образцы рекомендуется хранить при температуре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от 2 до 8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в течение 24-48 часов, для более длительного хранения необходимо замораживание.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Единственное исключение – цельная кровь, которая не подлежит замораживанию.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При проведении исследований на наличие вирусов гепатитов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и С, ВИЧ и т.д. необходимо получение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плазмы крови, и в этом случае возможно однократное замораживание пробы.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 настоящее время, процессы взятия материала, его предварительной обработки, хранения и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перевозки, передачи исследуемого материала в другие организации осуществляются согласно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инструктивно-методическим документам, регламентирующим выполнение исследований для каждого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вида возбудителя инфекций, инструкциям к наборам реагентов и в соответствии с СП 1.2.036-95,</w:t>
      </w:r>
      <w:r w:rsidR="003A6D81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СП 1.3.1285-03 и СП 1.3.2322-08.</w:t>
      </w:r>
    </w:p>
    <w:p w:rsidR="003A6D81" w:rsidRDefault="003A6D81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622665" w:rsidRPr="00622665" w:rsidRDefault="00622665" w:rsidP="00622665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2266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22665">
        <w:rPr>
          <w:rFonts w:ascii="Times New Roman" w:hAnsi="Times New Roman" w:cs="Times New Roman"/>
          <w:b/>
          <w:sz w:val="24"/>
          <w:szCs w:val="24"/>
        </w:rPr>
        <w:t xml:space="preserve">Ошибки аналитического этапа: выбор системы </w:t>
      </w:r>
      <w:proofErr w:type="spellStart"/>
      <w:r w:rsidRPr="00622665">
        <w:rPr>
          <w:rFonts w:ascii="Times New Roman" w:hAnsi="Times New Roman" w:cs="Times New Roman"/>
          <w:b/>
          <w:sz w:val="24"/>
          <w:szCs w:val="24"/>
        </w:rPr>
        <w:t>пробоподготовки</w:t>
      </w:r>
      <w:proofErr w:type="spellEnd"/>
      <w:r w:rsidRPr="00622665">
        <w:rPr>
          <w:rFonts w:ascii="Times New Roman" w:hAnsi="Times New Roman" w:cs="Times New Roman"/>
          <w:b/>
          <w:sz w:val="24"/>
          <w:szCs w:val="24"/>
        </w:rPr>
        <w:t xml:space="preserve">; технологические ошибки. </w:t>
      </w:r>
    </w:p>
    <w:p w:rsidR="0032527D" w:rsidRPr="00D06D6F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6D6F">
        <w:rPr>
          <w:rFonts w:ascii="Times New Roman" w:hAnsi="Times New Roman" w:cs="Times New Roman"/>
          <w:b/>
          <w:sz w:val="24"/>
          <w:szCs w:val="24"/>
        </w:rPr>
        <w:t xml:space="preserve">Выбор системы </w:t>
      </w:r>
      <w:proofErr w:type="spellStart"/>
      <w:r w:rsidRPr="00D06D6F">
        <w:rPr>
          <w:rFonts w:ascii="Times New Roman" w:hAnsi="Times New Roman" w:cs="Times New Roman"/>
          <w:b/>
          <w:sz w:val="24"/>
          <w:szCs w:val="24"/>
        </w:rPr>
        <w:t>пробоподготовки</w:t>
      </w:r>
      <w:proofErr w:type="spellEnd"/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Проведение собственно лабораторного исследования также может сопровождаться рядом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ошибок, среди которых одной из основных является неправильный выбор системы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Возвращаясь к сказанному выше, наиболее часто в лаборатории используют следующие варианты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:</w:t>
      </w:r>
    </w:p>
    <w:p w:rsidR="00D06D6F" w:rsidRDefault="0032527D" w:rsidP="00D06D6F">
      <w:pPr>
        <w:pStyle w:val="a3"/>
        <w:numPr>
          <w:ilvl w:val="0"/>
          <w:numId w:val="4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D06D6F"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gramEnd"/>
      <w:r w:rsidRPr="00D06D6F">
        <w:rPr>
          <w:rFonts w:ascii="Times New Roman" w:hAnsi="Times New Roman" w:cs="Times New Roman"/>
          <w:sz w:val="24"/>
          <w:szCs w:val="24"/>
        </w:rPr>
        <w:t xml:space="preserve"> – упрощенные методики, основанные на кипячении, </w:t>
      </w:r>
      <w:proofErr w:type="spellStart"/>
      <w:r w:rsidRPr="00D06D6F">
        <w:rPr>
          <w:rFonts w:ascii="Times New Roman" w:hAnsi="Times New Roman" w:cs="Times New Roman"/>
          <w:sz w:val="24"/>
          <w:szCs w:val="24"/>
        </w:rPr>
        <w:t>протеолизе</w:t>
      </w:r>
      <w:proofErr w:type="spellEnd"/>
    </w:p>
    <w:p w:rsidR="00D06D6F" w:rsidRDefault="0032527D" w:rsidP="00D06D6F">
      <w:pPr>
        <w:pStyle w:val="a3"/>
        <w:numPr>
          <w:ilvl w:val="0"/>
          <w:numId w:val="4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D06D6F">
        <w:rPr>
          <w:rFonts w:ascii="Times New Roman" w:hAnsi="Times New Roman" w:cs="Times New Roman"/>
          <w:sz w:val="24"/>
          <w:szCs w:val="24"/>
        </w:rPr>
        <w:t>Сорбентные</w:t>
      </w:r>
      <w:proofErr w:type="spellEnd"/>
      <w:r w:rsidRPr="00D06D6F">
        <w:rPr>
          <w:rFonts w:ascii="Times New Roman" w:hAnsi="Times New Roman" w:cs="Times New Roman"/>
          <w:sz w:val="24"/>
          <w:szCs w:val="24"/>
        </w:rPr>
        <w:t xml:space="preserve"> методы</w:t>
      </w:r>
    </w:p>
    <w:p w:rsidR="0032527D" w:rsidRPr="00D06D6F" w:rsidRDefault="0032527D" w:rsidP="00D06D6F">
      <w:pPr>
        <w:pStyle w:val="a3"/>
        <w:numPr>
          <w:ilvl w:val="0"/>
          <w:numId w:val="4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D06D6F">
        <w:rPr>
          <w:rFonts w:ascii="Times New Roman" w:hAnsi="Times New Roman" w:cs="Times New Roman"/>
          <w:sz w:val="24"/>
          <w:szCs w:val="24"/>
        </w:rPr>
        <w:t>Методы одновременного выделения ДНК/РНК, выделение из цельной крови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Выбор метода выделения должен определяться характером биоматериала, степенью его загрязнения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потенциальными ингибиторами ПЦР.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экспресс-методов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существенно сокращает время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делает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минимальными потери ДНК в процессе выделения и существенно сокращает риск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кроссконтаминации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что представляется весьма привлекательным для рутинного использования 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лаборатории.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существенным недостатком данной группы методов является низкая степень очистки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пробы от ингибиторов, следствием чего 3-5% образцов дают недостоверные результаты в ПЦР.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При необходимости использования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экспресс-методов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со «сложными» образцами возможно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введение дополнительных способов очистки и концентрации материала, например, в случае избытка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слизи в пробе (для мокроты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эякулята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бронхоальвеолярного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лаважа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промывных вод бронхов,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трахеального смыва, синовиальной и плевральной жидкости) целесообразным является ее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предварительная обработка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муколитиками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типа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муколизина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lastRenderedPageBreak/>
        <w:t>Тем не менее, даже предварительная обработка материала не подходит для бактерий с крепкой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клеточной стенкой и может привести к ложноотрицательным результатам в ПЦР.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В случае исследования крови на наличие вирусов, особенно относящихся к группе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РНКсодержащих</w:t>
      </w:r>
      <w:proofErr w:type="spellEnd"/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(ВИЧ, гепатит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и т.д.), вероятность получения ложноотрицательных результатов велика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 следующим причинам: исходно низкая вирусная нагрузка и течение болезни в периоде ремиссии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(концентрация вирусных частиц ниже предела чувствительности тест-системы); неравномерное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распределение материала по пробиркам в дублях;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нестабильность исходно выделяемой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РНК; большие потери материала на этапе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пробоподготовки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Повышение эффективности выделения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 получение адекватных результатов ПЦР возможно при использовании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гемолитика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для предварительной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обработки цельной крови и увеличения выхода осадка лейкоцитов.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В данном случае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проявляют крайне низкую эффективность, и наиболее правильным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представляется использование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сорбентных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методов выделения или методов, позволяющих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одновременно выделять ДНК/РНК. Данные методы можно определить как «универсальные».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Однако для них характерно: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– длительное время выделения; – опасность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кросс-контаминации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>;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– потери ДНК с сорбентом; – зависимость от качества сорбента.</w:t>
      </w:r>
    </w:p>
    <w:p w:rsidR="0032527D" w:rsidRPr="00D06D6F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6D6F">
        <w:rPr>
          <w:rFonts w:ascii="Times New Roman" w:hAnsi="Times New Roman" w:cs="Times New Roman"/>
          <w:b/>
          <w:sz w:val="24"/>
          <w:szCs w:val="24"/>
        </w:rPr>
        <w:t>Генетическая изменчивость микроорганизмов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Вероятность получения ложноотрицательного результата может быть обусловлена изменчивостью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микроорганизмов. При конструировании тест-системы в качестве мишени используется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высоко консервативный участок генома. Однако изменчивость микроорганизмов может приводить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 тому, что некоторые генотипы или штаммы исследуемого возбудителя могут приобретать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мутации в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амплифицируемом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участке ДНК и становиться недоступными для анализа данной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тест-системой.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Например, у 30% пациентов с установленным диагнозом «хламидиоз», обусловленным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С.trachomatis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при проведении исследований методом ПЦР результат анализа был отрицательным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при полном соблюдении технологии. Это обусловлено тем, что часть коммерческих тест-систем 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качестве мишени использовали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плазмиду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патогена, тогда как патологический процесс был связан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бесплазмидными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штаммами бактерий.</w:t>
      </w:r>
    </w:p>
    <w:p w:rsidR="0032527D" w:rsidRPr="00D06D6F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6D6F">
        <w:rPr>
          <w:rFonts w:ascii="Times New Roman" w:hAnsi="Times New Roman" w:cs="Times New Roman"/>
          <w:b/>
          <w:sz w:val="24"/>
          <w:szCs w:val="24"/>
        </w:rPr>
        <w:t>Технологические ошибки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Основной ошибкой аналитического этапа при реализации метода ПЦР с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детекцией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результатов с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помощью гель-электрофореза является риск принять неспецифичные фрагменты за специфичные,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если они близки по длине и нет возможности сравнить с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>+ и маркером длин фрагментов.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Проблемой, наиболее актуальной для лабораторий, работающих с ПЦР в формате FLASH, является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неправильное приготовление фоновых пробирок. В первую очередь, это связано с тем,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что в разных сериях реактивов могут отличаться концентрации компонентов реакционной смеси, поэтому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высока вероятность различного уровня флуоресценции. Приготовление фоновых пробирок без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учета серии тест-системы может привести к большому количеству недостоверных результатов.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Кроме того, при приготовлении фонов необходимо исключить добавление в них полимеразы, так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как, если в тест-систему входит внутренний контроль и/или отрицательный образец проходит стадию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выделения, все отрицательные значения будут недостоверными.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lastRenderedPageBreak/>
        <w:t>Еще одним фактором возникновения ложноположительных и ложноотрицательных результатов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в ПЦР с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детекцией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по конечной точке может быть неправильное хранение фоновых пробирок.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Это объясняется тем, что при неправильном хранении зонды в фоновых пробирках могут разрушаться,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 нормировочные значения существенно увеличиваются за срок от нескольких часов до нескольких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дней, при этом значения флуоресценции в образцах оказываются в большей или меньшей степени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занижены.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Главным критерием достоверности полученных результатов в данном случае могут служить отрицательные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пробы. При отсутствии расхождений между фоновыми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амплификационными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пробирками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отрицательные образцы имеют значения флуоресценции близкие к 1 или, в редких случаях, незначительно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выше.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Если значения флуоресценции в одном или нескольких образцах или отрицательном контроле существенно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ниже 1, с большой долей вероятности можно утверждать, что фоновые пробирки не соответствуют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данному исследованию, в этом случае необходимо их поменять.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В случае неправильного хранения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амплификационных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пробирок (длительное пребывание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пробирок при комнатной температуре) фоновая флуоресценция в них возрастает, в то время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как в фоновых пробирках флуоресценция остается неизменной. В этом случае увеличивается содержание положительных результатов с низкими значениями флуоресценции. Результаты при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этом получаются такие же, как при контаминации в лаборатории, однако в данном случае все низкие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значения флуоресценции будут примерно одинаковы, что в случае контаминации встречается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достаточно редко, поскольку маловероятно, что во все отрицательные пробирки попадет равное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количество постороннего материала.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Несмотря на очевидные преимущества метода ПЦР с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детекцией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результатов в режиме реального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времени, возможны ошибки аналитического этапа, обусловленные следующим: колебанием флуоресценции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 приборе, которое может быть зафиксировано программой, как ложноположительный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или ложноотрицательный результат. В этом случае необходимо провести анализ индивидуальной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кривой. Пороговая линия должна пересекать индивидуальную кривую в области начала экспоненциального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роста флуоресценции.</w:t>
      </w:r>
    </w:p>
    <w:p w:rsidR="00D06D6F" w:rsidRPr="00D06D6F" w:rsidRDefault="00D06D6F" w:rsidP="00D06D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6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06D6F">
        <w:rPr>
          <w:rFonts w:ascii="Times New Roman" w:hAnsi="Times New Roman" w:cs="Times New Roman"/>
          <w:b/>
          <w:sz w:val="24"/>
          <w:szCs w:val="24"/>
        </w:rPr>
        <w:t xml:space="preserve">Ошибки </w:t>
      </w:r>
      <w:proofErr w:type="spellStart"/>
      <w:r w:rsidRPr="00D06D6F">
        <w:rPr>
          <w:rFonts w:ascii="Times New Roman" w:hAnsi="Times New Roman" w:cs="Times New Roman"/>
          <w:b/>
          <w:sz w:val="24"/>
          <w:szCs w:val="24"/>
        </w:rPr>
        <w:t>постаналитического</w:t>
      </w:r>
      <w:proofErr w:type="spellEnd"/>
      <w:r w:rsidRPr="00D06D6F">
        <w:rPr>
          <w:rFonts w:ascii="Times New Roman" w:hAnsi="Times New Roman" w:cs="Times New Roman"/>
          <w:b/>
          <w:sz w:val="24"/>
          <w:szCs w:val="24"/>
        </w:rPr>
        <w:t xml:space="preserve"> этапа: ошибки интерпретации результатов ПЦР.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Основной проблемой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постаналитического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этапа является неверная интерпретация врачом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результатов ПЦР-анализа вследствие ошибочных представлений об инфекционном агенте или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 возможностях метода.</w:t>
      </w:r>
    </w:p>
    <w:p w:rsidR="0032527D" w:rsidRPr="00D06D6F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6D6F">
        <w:rPr>
          <w:rFonts w:ascii="Times New Roman" w:hAnsi="Times New Roman" w:cs="Times New Roman"/>
          <w:b/>
          <w:sz w:val="24"/>
          <w:szCs w:val="24"/>
        </w:rPr>
        <w:t>Ошибки интерпретации результатов ПЦР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Одной из наиболее распространенных ошибок при интерпретации результатов ПЦР-анализа является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не принятие во внимание особенностей персистенции и элиминации возбудителя. Например,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назначение контрольного исследования через 1 неделю после окончания курса антибиотикотерапии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ряда инфекционного заболеваний. В подавляющем большинстве случаев результат анализа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на выявление микроорганизма – возбудителя инфекции будет положительным. Из этого можно сделать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вывод о неэффективности проведенной терапии. Такое заключение ошибочно в силу того, что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ДНК микроорганизма может сохраняться в течение нескольких недель после его элиминации и не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свидетельствует о жизнеспособности. Если речь идет о микроорганизмах, ассоциированных с эпителием,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окончательный вывод об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излеченности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</w:t>
      </w:r>
      <w:r w:rsidRPr="0032527D">
        <w:rPr>
          <w:rFonts w:ascii="Times New Roman" w:hAnsi="Times New Roman" w:cs="Times New Roman"/>
          <w:sz w:val="24"/>
          <w:szCs w:val="24"/>
        </w:rPr>
        <w:lastRenderedPageBreak/>
        <w:t>можно сделать не ранее, чем через 5-6 недель после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курса антибиотикотерапии. Это срок необходим для смены эпителиального слоя.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С другой стороны, если целью анализа является оценка состояния микрофлоры урогенитального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или желудочно-кишечного трактов, то назначение исследования через 1-2 недели на фоне проведенной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антибактериальной терапии, скорее всего, приведет к отрицательному результату в ПЦР. В случае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сбалансированной и устойчивой системы, ее самовосстановление произойдет не ранее 2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 – 1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месяца, тогда проведение ПЦР анализа будет информативным и позволит оценить динамику состояния,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либо определить меры коррекции.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Другая ошибка – клиническая оценка положительного результата ПЦР, определение его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прогностической значимости. Показано, что только у 40% – 60% лиц с обнаруженной в крови методом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ПЦР ДНК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цитомегаловируса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клинически может развиться заболевание. В данной ситуации при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оценке результатов исследования, совершается типичная ошибка, заключающаяся в отождествлении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двух принципиально различных понятий – «инфицированность» и «инфекционный процесс».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То же можно сказать и про ПЦР – диагностику инфекций, обусловленных ВПЧ. Метод ПЦР крайне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важен с точки зрения возможности идентифицировать отдельные типы ВПЧ (высокого и низкого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онкогенного риска). Однако существует большой риск интерпретировать положительный результат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 точки зрения прогноза развития неопластических процессов шейки матки, хотя в 80-90 % случаев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инфицирование ВПЧ носит кратковременный характер и заканчивается спонтанной элиминацией вируса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(через 6-24 месяца). Положительный результат при лабораторном исследовании имеет значимость,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если на фоне ВПЧ – инфекции имеется картина неоплазии эпителия шейки матки, что позволяет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прогнозировать степень канцерогенного риска.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Еще одной ошибкой является неверная интерпретация результатов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количественного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ПЦРанализа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 этом случае необходимо четко определить цель назначения данного вида исследования.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Например, опубликованный в 2010 г УДК [616.36-002.12:578.891]-07/08 «Протокол диагностики 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лечения больных вирусными гепатитами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и С» регламентирует количественные исследования ДНК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вирусного гепатита В и, в соответствии с рекомендациями Европейской ассоциации по изучению печени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2009 г. (EASL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2009), определяет показания для проведения противовирусной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терапии HBV при наличии уровня ДНК HBV в крови более 10 000 копий/мл (2000 ME/мл).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Сероконверсия</w:t>
      </w:r>
      <w:proofErr w:type="spellEnd"/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HBeAg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в сочетании со снижением уровня ДНК HBV ниже 2000 МЕ/мл (104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 копий/мл)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расценивается как достижение эффекта терапии.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проведение количественных исследований методом ПЦР для целого спектра бактериальных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 вирусных инфекций на данный момент не регламентировано и не определены критерии диагностической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 клинической значимости получаемых результатов. В связи с этим, интерпретация результатов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исследования может носить субъективный характер и определять неверную тактику ведения пациента.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Например, количественный анализ отдельных представителей условно-патогенной флоры урогенитального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тракта (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Ureaplasma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Gardnerella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) без учета количественных показателей ведущего представителя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нормофлоры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– бактерий рода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Lactobacillus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(обусловливает колонизационную резистентность,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поддерживает кислую реакцию среды), а так же при отсутствии клинических проявлений воспаления,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дисбиоза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жалоб пациента, может привести к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гипердиагностике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необоснованному назначению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антибактериальной терапии. Как следствие: стремительный рост </w:t>
      </w:r>
      <w:r w:rsidRPr="0032527D">
        <w:rPr>
          <w:rFonts w:ascii="Times New Roman" w:hAnsi="Times New Roman" w:cs="Times New Roman"/>
          <w:sz w:val="24"/>
          <w:szCs w:val="24"/>
        </w:rPr>
        <w:lastRenderedPageBreak/>
        <w:t>антибиотикорезистентности,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увеличение числа случаев рецидивирующего бактериального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вагиноза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дисбиоза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Аналогичная ситуация складывается и при интерпретации результатов количественного исследования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ВПЧ высокого онкогенного риска. На сегодняшний день отсутствует прямое доказательство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роли исходной вирусной нагрузки в развитии неопластических процессов шейки матки и прогнозировании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их исхода.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Кроме того, на этапе анализа и интерпретации результатов ПЦР возникают и другие проблемы, которые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можно обозначить, как несовпадение результатов при использовании различных методов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исследования (например, ПЦР и ИФА, ПЦР и бактериальный посев, ПЦР и микроскопические методы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исследования).</w:t>
      </w:r>
    </w:p>
    <w:p w:rsidR="00D06D6F" w:rsidRPr="00D06D6F" w:rsidRDefault="00D06D6F" w:rsidP="00D06D6F">
      <w:pPr>
        <w:pStyle w:val="a3"/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6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06D6F">
        <w:rPr>
          <w:rFonts w:ascii="Times New Roman" w:hAnsi="Times New Roman" w:cs="Times New Roman"/>
          <w:b/>
          <w:sz w:val="24"/>
          <w:szCs w:val="24"/>
        </w:rPr>
        <w:t>Интерпретация при несовпадении результатов при использовании ПЦР и ИФА.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 случае сравнения результатов, полученных в ИФА и ПЦР, несовпадения могут быть следующими:</w:t>
      </w:r>
    </w:p>
    <w:p w:rsidR="00D06D6F" w:rsidRDefault="0032527D" w:rsidP="00D06D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D6F">
        <w:rPr>
          <w:rFonts w:ascii="Times New Roman" w:hAnsi="Times New Roman" w:cs="Times New Roman"/>
          <w:sz w:val="24"/>
          <w:szCs w:val="24"/>
        </w:rPr>
        <w:t>положительный результат в ПЦР и отрицательный результат в ИФА;</w:t>
      </w:r>
    </w:p>
    <w:p w:rsidR="0032527D" w:rsidRPr="00D06D6F" w:rsidRDefault="0032527D" w:rsidP="00D06D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6D6F">
        <w:rPr>
          <w:rFonts w:ascii="Times New Roman" w:hAnsi="Times New Roman" w:cs="Times New Roman"/>
          <w:sz w:val="24"/>
          <w:szCs w:val="24"/>
        </w:rPr>
        <w:t>отрицательный результат ПЦР и положительный результат ИФА.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 первом случае, и это наиболее актуально для выявления вирусов гепатита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и иммунодефицита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человека, данный факт может быть обусловлен наличием «серологического окна». В условиях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постоянно повышающихся концентраций антигена в результате репродукции вируса происходит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активное снижение концентрации антител за счёт включения их в состав иммунных комплексов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«антиген-антитело». Также происходит подавление гуморального звена иммунного ответа в результате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синтеза набора цитокинов,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стимулирующих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клеточное звено иммунитета. Как следствие, в течение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инфекционного процесса наблюдается длительное «серологическое окно» от момента заражения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сероконверсии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Обычно заметное количество антител к ВИЧ появляется в крови через 2-10 недель после заражения,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однако разброс во времени может быть весьма велик. Так, у 90-95 % зараженных они обнаруживаются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 течение 3-х месяцев после заражения, у 5-9 % – через 6 месяцев, а у 0,5-1 % – и в более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поздние сроки.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Выявление ДНК/РНК вируса методом ПЦР позволяет уменьшить продолжительность «серологического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окна» в среднем на 11 дней и обнаружить патогена уже через 1-2 недели после заражения.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Проведение ПЦР позволяет выявить РНК вируса гепатита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не только в сыворотке крови, но и 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биоптате печени, что важно при подтверждении роли вируса гепатита С в формировании гепатоцеллюлярной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карциномы. У подобных больных РНК вируса гепатита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регистрируется в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гепатоцитах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-HCV и РНК вируса гепатита С – в сыворотке крови. У ряда больных с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самоограничивающимся</w:t>
      </w:r>
      <w:proofErr w:type="spellEnd"/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течением инфекции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anti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-HCV не появляются никогда.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Кроме того, отсутствие положительных результатов ИФА на фоне положительного результата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в ПЦР может наблюдаться у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иммуносупрессированных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пациентов и новорожденных с перинатальной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инфекцией (нетипичная картина, связанная с антителами матери). Так, при хроническом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хламидиозе до 5% больных имеют титр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антихламидийных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антител, не превышающий критического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уровня.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32527D">
        <w:rPr>
          <w:rFonts w:ascii="Times New Roman" w:hAnsi="Times New Roman" w:cs="Times New Roman"/>
          <w:sz w:val="24"/>
          <w:szCs w:val="24"/>
        </w:rPr>
        <w:t>Аналогичная проблема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может возникнуть при диагностике сифилиса, в том случае, если заболевание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проходит стадию первичного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серонегативного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сифилиса, когда </w:t>
      </w:r>
      <w:r w:rsidRPr="0032527D">
        <w:rPr>
          <w:rFonts w:ascii="Times New Roman" w:hAnsi="Times New Roman" w:cs="Times New Roman"/>
          <w:sz w:val="24"/>
          <w:szCs w:val="24"/>
        </w:rPr>
        <w:lastRenderedPageBreak/>
        <w:t>стандартные серологические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реакции крови еще отрицательные (первые 3-4 недели от возникновения твердого шанкра).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При заболеваниях, передающихся половым путем, скрытый период инфекции, когда уровень иммуноглобулинов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не больше нормы, составляет в среднем 14 дней.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Кроме того, важно учитывать возможность высокой генетической изменчивости микроорганизмов,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которая приводит к формированию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серонегативных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штаммов.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При обследовании новорожденных на наличие внутриутробных инфекций может быть получен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ложноотрицательный результат серологического исследования не только вследствие влияния высокой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концентрации материнских антител класса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(маскируют наличие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у ребенка), но и развития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иммунологической толерантности.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Иммунологическая толерантность – неспособность организма к иммунному ответу на определенный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антиген. Сроки ее формирования варьируют от нескольких часов до нескольких суток, а ее длительность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зависит от персистенции антигена в организме и скорости образования иммунокомпетентных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клеток из их предшественников. Индукции толерантности способствует неспецифическая иммунодепрессия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(в том числе, под влиянием лекарственных препаратов).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Генетически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обусловленная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серонегативность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ряда заболеваний делает их недоступными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для анализа стандартными серологическими методами, а при исследовании методом ПЦР обеспечивается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положительный результат, например,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серонегативные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спондилоартриты (ССА) – заболевания,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которые характеризуются поражением крестцово-подвздошных сочленений и имеют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тенденцию к семейной агрегации. В группу ССА включают 10 заболеваний: идиопатический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анкилозирующий</w:t>
      </w:r>
      <w:proofErr w:type="spellEnd"/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спондилоартрит,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псориатический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артрит, болезнь Рейтера, язвенный колит, болезнь</w:t>
      </w:r>
      <w:r w:rsidR="00D06D6F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Крона, болезнь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Уиппла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ювенильный хронический артрит, реактивный артрит (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иерсиниозный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шигеллезный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сальмонеллезный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), острый передний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увеит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синдром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Бехчета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объединенных наличием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при обследовании HLA-B27 – антигена.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Еще один вариант несовпадения результатов ПЦР и ИФА (отрицательный результат в ПЦР и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положительный результат в ИФА) может быть обусловлен выявлением «иммунологического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следа» – остаточный уровень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после ранее перенесенной инфекции. У некоторых людей повышенный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уровень антител может сохраняться многие месяцы и годы после полного выздоровления,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что связано с индивидуальными особенностями иммунной системы.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Другой причиной расхождения результатов может стать использование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родоспецифических</w:t>
      </w:r>
      <w:proofErr w:type="spellEnd"/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тест-систем для ИФА.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Например, в случае подозрений на атипичную пневмонию выбор тест-системы, выявляющей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несколько видов хламидий, в первую очередь, респираторных (С.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pneumonia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pecorum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Pr="003252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>sitaci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), определяет получение положительного результата. При этом, направление на анализ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методом ПЦР с указанием только наиболее распространенного этиологического агента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хламидийной</w:t>
      </w:r>
      <w:proofErr w:type="spellEnd"/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пневмонии – С. </w:t>
      </w:r>
      <w:proofErr w:type="spellStart"/>
      <w:proofErr w:type="gramStart"/>
      <w:r w:rsidRPr="003252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>neumonia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может привести к получению отрицательного результата. Это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будет связано с использованием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видоспецифической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тест-системы, направленной на выявление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только указанного вида микроорганизма, тогда как возбудителем инфекционного процесса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может быть C. </w:t>
      </w:r>
      <w:proofErr w:type="spellStart"/>
      <w:proofErr w:type="gramStart"/>
      <w:r w:rsidRPr="003252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>sitaci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Еще одним фактором несовпадения данных ПЦР и ИФА является зависимость результатов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анализа методом ПЦР от используемого материала.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 для ПЦР должен быть получен из места предполагаемой локализации инфекционного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и/или неинфекционного воспалительного процесса, а для получения достоверного результата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ИФА данный подход не является критичным.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Например, при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хламидийном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сальпингите </w:t>
      </w:r>
      <w:r w:rsidRPr="0032527D">
        <w:rPr>
          <w:rFonts w:ascii="Times New Roman" w:hAnsi="Times New Roman" w:cs="Times New Roman"/>
          <w:sz w:val="24"/>
          <w:szCs w:val="24"/>
        </w:rPr>
        <w:lastRenderedPageBreak/>
        <w:t>(воспаление маточной трубы) в крови пациентов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будет определяться устойчивый уровень специфических антител, тогда как при анализе соскобного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материала из влагалища или шейки матки методом ПЦР хламидии обнаружены не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будут. Учитывая тот факт, что в 50% случаев заболевание протекает атипично интерпретация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результата ПЦР как отрицательного, может привести к тяжелым последствиям, поэтому для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подтверждения положительного результата ИФА и постановки диагноза показана лапароскопия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гидросальпинкс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).</w:t>
      </w:r>
    </w:p>
    <w:p w:rsidR="00697513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Тем не менее, сравнивая возможности ИФА и ПЦР в диагностике заболеваний, следует отметить,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что метод ПЦР не позволяет установить стадию инфекционного процесса. В связи с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этим, роль ИФА в интерпретации результатов исследования может быть весьма существенной, поскольку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данный метод позволяет определить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авидность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антител. 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Авидность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– это прочность связи между антителом и антигеном, которая отражает сроки заражения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 длительность инфекционного процесса. Определение индекса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авидности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(ИА) ниже 30-35%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указывает на свежую первичную инфекцию, показатель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авидности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равный или превышающий 40%,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указывает на то, что в сыворотке содержатся анамнестические высоко-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авидные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антитела, свидетельствующие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об инфекции в прошлом. ИА в интервале 31-39% может свидетельствовать о поздней стадии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первичной инфекции или недавно перенесенной инфекции только при условии выявления антител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 высокой концентрации.</w:t>
      </w:r>
    </w:p>
    <w:p w:rsidR="0032527D" w:rsidRPr="00697513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97513">
        <w:rPr>
          <w:rFonts w:ascii="Times New Roman" w:hAnsi="Times New Roman" w:cs="Times New Roman"/>
          <w:b/>
          <w:sz w:val="24"/>
          <w:szCs w:val="24"/>
        </w:rPr>
        <w:t>Сравнение результатов ПЦР и микроскопии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На данный момент микроскопические методы исследования широко применяют в диагностике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инфекционных болезней бактериальной этиологии, паразитарных и (реже) вирусных заболеваний.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 повседневной практике лаборатории микроскопическое исследование, как правило, используют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для ускоренной ориентировочной диагностики.</w:t>
      </w:r>
    </w:p>
    <w:p w:rsidR="00697513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97513">
        <w:rPr>
          <w:rFonts w:ascii="Times New Roman" w:hAnsi="Times New Roman" w:cs="Times New Roman"/>
          <w:b/>
          <w:sz w:val="24"/>
          <w:szCs w:val="24"/>
        </w:rPr>
        <w:t>Основные задачи микроскопии:</w:t>
      </w:r>
    </w:p>
    <w:p w:rsidR="00697513" w:rsidRDefault="0032527D" w:rsidP="0069751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выявление возбудителя в клиническом материале;</w:t>
      </w:r>
    </w:p>
    <w:p w:rsidR="00697513" w:rsidRDefault="0032527D" w:rsidP="0069751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 xml:space="preserve">ориентировочная идентификация на основе определения характерных морфологических и </w:t>
      </w:r>
      <w:proofErr w:type="spellStart"/>
      <w:r w:rsidRPr="00697513">
        <w:rPr>
          <w:rFonts w:ascii="Times New Roman" w:hAnsi="Times New Roman" w:cs="Times New Roman"/>
          <w:sz w:val="24"/>
          <w:szCs w:val="24"/>
        </w:rPr>
        <w:t>тинкториальных</w:t>
      </w:r>
      <w:proofErr w:type="spellEnd"/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697513">
        <w:rPr>
          <w:rFonts w:ascii="Times New Roman" w:hAnsi="Times New Roman" w:cs="Times New Roman"/>
          <w:sz w:val="24"/>
          <w:szCs w:val="24"/>
        </w:rPr>
        <w:t>признаков микроорганизмов;</w:t>
      </w:r>
    </w:p>
    <w:p w:rsidR="0032527D" w:rsidRPr="00697513" w:rsidRDefault="0032527D" w:rsidP="0069751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изучение окрашенных мазков из колоний чистых культур.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Этот метод рассматривается, как самый быстрый и дешевый, его использование связано с минимальными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требованиями к организации лаборатории.</w:t>
      </w:r>
    </w:p>
    <w:p w:rsidR="00697513" w:rsidRDefault="0032527D" w:rsidP="0069751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Тем не менее, существует ряд ограничений в использования микроскопии для диагностики инфекционных</w:t>
      </w:r>
      <w:r w:rsidR="00697513">
        <w:rPr>
          <w:rFonts w:ascii="Times New Roman" w:hAnsi="Times New Roman" w:cs="Times New Roman"/>
          <w:sz w:val="24"/>
          <w:szCs w:val="24"/>
        </w:rPr>
        <w:t xml:space="preserve"> заболеваний:</w:t>
      </w:r>
    </w:p>
    <w:p w:rsidR="00697513" w:rsidRDefault="0032527D" w:rsidP="0069751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низкая чувствительность;</w:t>
      </w:r>
    </w:p>
    <w:p w:rsidR="00697513" w:rsidRDefault="0032527D" w:rsidP="0069751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субъективность оценки результатов;</w:t>
      </w:r>
    </w:p>
    <w:p w:rsidR="00697513" w:rsidRDefault="0032527D" w:rsidP="0069751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ограниченный спектр выявляемых микроорганизмов;</w:t>
      </w:r>
    </w:p>
    <w:p w:rsidR="0032527D" w:rsidRPr="00697513" w:rsidRDefault="0032527D" w:rsidP="0069751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приблизительная количественная оценка.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Так, при диагностике трихомониаза микроскопический метод имеет самую низкую чувствительность:</w:t>
      </w:r>
    </w:p>
    <w:p w:rsidR="00697513" w:rsidRDefault="0032527D" w:rsidP="0069751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в среднем – 30% (для женщин – 50-60%, для мужчин – 10-12%), тогда как метод ПЦР достоверно</w:t>
      </w:r>
    </w:p>
    <w:p w:rsidR="0032527D" w:rsidRPr="00697513" w:rsidRDefault="0032527D" w:rsidP="00697513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7513">
        <w:rPr>
          <w:rFonts w:ascii="Times New Roman" w:hAnsi="Times New Roman" w:cs="Times New Roman"/>
          <w:sz w:val="24"/>
          <w:szCs w:val="24"/>
        </w:rPr>
        <w:t>определяет возбудителя в 90-96% случаев. Такие показатели микроскопии обусловлены потерей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697513">
        <w:rPr>
          <w:rFonts w:ascii="Times New Roman" w:hAnsi="Times New Roman" w:cs="Times New Roman"/>
          <w:sz w:val="24"/>
          <w:szCs w:val="24"/>
        </w:rPr>
        <w:t>микроорганизмом характерной подвижности после извлечения во внешнюю среду.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lastRenderedPageBreak/>
        <w:t xml:space="preserve">Особенно затруднительна диагностика в случае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низкотитражных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препаратов или препаратов, содержащих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значительное количество клеток эпителия и лейкоцитов. В очаге воспаления трихомонада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часто представлена округлыми формами, напоминающими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полиморфноядерные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лейкоциты, кроме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того, типичные морфологические признаки теряются во время фиксации и окрашивания, создавая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трудность для этиологической идентификации.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32527D">
        <w:rPr>
          <w:rFonts w:ascii="Times New Roman" w:hAnsi="Times New Roman" w:cs="Times New Roman"/>
          <w:sz w:val="24"/>
          <w:szCs w:val="24"/>
        </w:rPr>
        <w:t>Сравнение чувствительности микроскопических методов исследования и ПЦР применительно к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таким микроорганизмам, как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N.gonorhoeae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C.trachomatis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свидетельствует, что в первом случае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частота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выявляемости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патогена в микроскопии у мужчин – 80-95%, у женщин – 30-50%, а во втором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– 10-12%. При этом, использование метода ПЦР дает возможность определять указанные микроорганизмы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 чувствительность более 95%.</w:t>
      </w:r>
      <w:proofErr w:type="gramEnd"/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Микроскопия микроорганизмов в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нативном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состоянии (главным образом фазово-контрастная)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имеет ограниченное применение, главным образом, при выявлении их подвижности и изучении морфологии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микроорганизмов, лишенных клеточной стенки (микоплазм и L-форм бактерий).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L-формы – бактерии, частично или полностью лишённые клеточной стенки, но сохранившие способность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 развитию. Возникают спонтанно или индуцировано – под воздействием агентов, блокирующих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синтез клеточной стенки: антибиотиков, ферментов, ультрафиолетовых и рентгеновских лучей,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аминокислоты глицина.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L-форма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обнаружена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у патогенных видов холерного</w:t>
      </w:r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вибриона,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токсигенных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штаммов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Clostridium</w:t>
      </w:r>
      <w:proofErr w:type="spellEnd"/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tet</w:t>
      </w:r>
      <w:r w:rsidR="0069751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6975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7513">
        <w:rPr>
          <w:rFonts w:ascii="Times New Roman" w:hAnsi="Times New Roman" w:cs="Times New Roman"/>
          <w:sz w:val="24"/>
          <w:szCs w:val="24"/>
        </w:rPr>
        <w:t>Treponema</w:t>
      </w:r>
      <w:proofErr w:type="spellEnd"/>
      <w:r w:rsidR="0069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513">
        <w:rPr>
          <w:rFonts w:ascii="Times New Roman" w:hAnsi="Times New Roman" w:cs="Times New Roman"/>
          <w:sz w:val="24"/>
          <w:szCs w:val="24"/>
        </w:rPr>
        <w:t>pallidum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 L-формы нередко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обнаруживаются в организме при таких длительно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протекающих патологических процессах, как бруцеллез,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септический эндокардит.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Важно учитывать, что существенным ограничением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микроскопических исследований является также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использование их для количественного анализа. Например,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анализ состояния биоценоза урогенитального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тракта предусматривает количественное определение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широкого спектра условно-патогенных аэробных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 анаэробных микроорганизмов, для которых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доказана роль в развитии воспалительных процессов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органов малого таза на фоне снижения количества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ключевого представителя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нормофлоры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– бактерий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рода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Lactobacillus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Традиционно при световой микроскопии выявляют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не более 10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морфотипов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Lactobacillus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spp.,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  <w:lang w:val="en-US"/>
        </w:rPr>
        <w:t>Gardnerella</w:t>
      </w:r>
      <w:proofErr w:type="spellEnd"/>
      <w:r w:rsidRP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  <w:lang w:val="en-US"/>
        </w:rPr>
        <w:t>vaginalis</w:t>
      </w:r>
      <w:r w:rsidRPr="00E93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7D">
        <w:rPr>
          <w:rFonts w:ascii="Times New Roman" w:hAnsi="Times New Roman" w:cs="Times New Roman"/>
          <w:sz w:val="24"/>
          <w:szCs w:val="24"/>
          <w:lang w:val="en-US"/>
        </w:rPr>
        <w:t>Bacteroides</w:t>
      </w:r>
      <w:proofErr w:type="spellEnd"/>
      <w:r w:rsidRP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Pr="00E9370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2527D">
        <w:rPr>
          <w:rFonts w:ascii="Times New Roman" w:hAnsi="Times New Roman" w:cs="Times New Roman"/>
          <w:sz w:val="24"/>
          <w:szCs w:val="24"/>
          <w:lang w:val="en-US"/>
        </w:rPr>
        <w:t>Mobiluncus</w:t>
      </w:r>
      <w:proofErr w:type="spellEnd"/>
      <w:r w:rsidRP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Pr="00E93707">
        <w:rPr>
          <w:rFonts w:ascii="Times New Roman" w:hAnsi="Times New Roman" w:cs="Times New Roman"/>
          <w:sz w:val="24"/>
          <w:szCs w:val="24"/>
        </w:rPr>
        <w:t xml:space="preserve">., </w:t>
      </w:r>
      <w:r w:rsidRPr="0032527D">
        <w:rPr>
          <w:rFonts w:ascii="Times New Roman" w:hAnsi="Times New Roman" w:cs="Times New Roman"/>
          <w:sz w:val="24"/>
          <w:szCs w:val="24"/>
          <w:lang w:val="en-US"/>
        </w:rPr>
        <w:t>Fusobacterium</w:t>
      </w:r>
      <w:r w:rsidRP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Pr="00E9370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2527D">
        <w:rPr>
          <w:rFonts w:ascii="Times New Roman" w:hAnsi="Times New Roman" w:cs="Times New Roman"/>
          <w:sz w:val="24"/>
          <w:szCs w:val="24"/>
          <w:lang w:val="en-US"/>
        </w:rPr>
        <w:t>Leptotrihia</w:t>
      </w:r>
      <w:proofErr w:type="spellEnd"/>
      <w:r w:rsidRP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  <w:lang w:val="en-US"/>
        </w:rPr>
        <w:t>spp</w:t>
      </w:r>
      <w:r w:rsidRPr="00E9370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2527D">
        <w:rPr>
          <w:rFonts w:ascii="Times New Roman" w:hAnsi="Times New Roman" w:cs="Times New Roman"/>
          <w:sz w:val="24"/>
          <w:szCs w:val="24"/>
          <w:lang w:val="en-US"/>
        </w:rPr>
        <w:t>Veillonella</w:t>
      </w:r>
      <w:proofErr w:type="spellEnd"/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spp., Candida spp. При этом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морфотипы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факультативно-анаэробных бактерий, обнаруживаемых в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мазках, морфологически однотипны у многих видов и родов бактерий –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колиформные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палочки или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грамположительные кокки.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Например,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Atopobium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vaginae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не имеет специфических микроскопических признаков, как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G.vaginalis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Mobiluncus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spp., и выглядит под микроскопом как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обычная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коринобактерия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довольно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часто встречающаяся у здоровых женщин. При этом данный микроорганизм является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одним из основных факторов развития рецидивирующего бактериального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вагиноза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его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осложнений.</w:t>
      </w:r>
    </w:p>
    <w:p w:rsidR="00E93707" w:rsidRDefault="0032527D" w:rsidP="00E9370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Кроме того, при микроскопии мазков можно выявить микроорганизмы, присутствующие в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биоматериале в количестве, обычно превышающем 105 КОЕ/мл, тогда как многие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факультативноанаэробные</w:t>
      </w:r>
      <w:proofErr w:type="spellEnd"/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 аэробные бактерии могут проявлять патогенный эффект при сравнительно небольшом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их количестве (до 104 КОЕ/мл), которое не выявляется при микроскопии. Поэтому диагностическая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ценность микроскопического исследования вагинального отделяемого резко снижается.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lastRenderedPageBreak/>
        <w:t>В связи с этим возникает существенная проблема по установлению этиологии воспалительного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процесса/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дисбиоза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определению тактики ведения пациента и, как следствие, наблюдается увеличение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числа рецидивов.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Результаты, полученные методом ПЦР, в данном случае отличаются высокой специфичностью и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чувствительностью, поскольку позволяют избежать субъективной оценки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морфотипов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 их количества,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не зависят от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тинкториальных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особенностей исследуемых микроорганизмов. Кроме того, появляется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возможность дифференцировки процесса: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аэробный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/анаэробный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дисбиоз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дисбиоз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смешанного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генеза и определение наиболее эффективных в каждом отдельном случае терапевтических или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коррекционных мероприятий.</w:t>
      </w:r>
    </w:p>
    <w:p w:rsidR="0032527D" w:rsidRPr="00E93707" w:rsidRDefault="0032527D" w:rsidP="0032527D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E93707">
        <w:rPr>
          <w:rFonts w:ascii="Times New Roman" w:hAnsi="Times New Roman" w:cs="Times New Roman"/>
          <w:b/>
          <w:sz w:val="24"/>
          <w:szCs w:val="24"/>
        </w:rPr>
        <w:t xml:space="preserve">Сравнение результатов ПЦР и </w:t>
      </w:r>
      <w:proofErr w:type="spellStart"/>
      <w:r w:rsidRPr="00E93707">
        <w:rPr>
          <w:rFonts w:ascii="Times New Roman" w:hAnsi="Times New Roman" w:cs="Times New Roman"/>
          <w:b/>
          <w:sz w:val="24"/>
          <w:szCs w:val="24"/>
        </w:rPr>
        <w:t>культурального</w:t>
      </w:r>
      <w:proofErr w:type="spellEnd"/>
      <w:r w:rsidRPr="00E93707">
        <w:rPr>
          <w:rFonts w:ascii="Times New Roman" w:hAnsi="Times New Roman" w:cs="Times New Roman"/>
          <w:b/>
          <w:sz w:val="24"/>
          <w:szCs w:val="24"/>
        </w:rPr>
        <w:t xml:space="preserve"> метода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Культуральный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метод, наряду с микроскопией микроорганизмов, входит в «золотой стандарт»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диагностики. Объективными причинами тому являются:</w:t>
      </w:r>
    </w:p>
    <w:p w:rsidR="00E93707" w:rsidRDefault="0032527D" w:rsidP="00E93707">
      <w:pPr>
        <w:pStyle w:val="a3"/>
        <w:numPr>
          <w:ilvl w:val="0"/>
          <w:numId w:val="9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>возможность обнаруживать все живые микроорганизмы, которые могут вырасти;</w:t>
      </w:r>
    </w:p>
    <w:p w:rsidR="00E93707" w:rsidRDefault="0032527D" w:rsidP="0032527D">
      <w:pPr>
        <w:pStyle w:val="a3"/>
        <w:numPr>
          <w:ilvl w:val="0"/>
          <w:numId w:val="9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 xml:space="preserve">z возможность определять </w:t>
      </w:r>
      <w:proofErr w:type="spellStart"/>
      <w:r w:rsidRPr="00E93707">
        <w:rPr>
          <w:rFonts w:ascii="Times New Roman" w:hAnsi="Times New Roman" w:cs="Times New Roman"/>
          <w:sz w:val="24"/>
          <w:szCs w:val="24"/>
        </w:rPr>
        <w:t>антибиотикоустойчивость.</w:t>
      </w:r>
      <w:proofErr w:type="spellEnd"/>
    </w:p>
    <w:p w:rsidR="00E93707" w:rsidRDefault="0032527D" w:rsidP="00E93707">
      <w:pPr>
        <w:pStyle w:val="a3"/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 xml:space="preserve">Но в применении </w:t>
      </w:r>
      <w:proofErr w:type="spellStart"/>
      <w:r w:rsidRPr="00E93707">
        <w:rPr>
          <w:rFonts w:ascii="Times New Roman" w:hAnsi="Times New Roman" w:cs="Times New Roman"/>
          <w:sz w:val="24"/>
          <w:szCs w:val="24"/>
        </w:rPr>
        <w:t>культурального</w:t>
      </w:r>
      <w:proofErr w:type="spellEnd"/>
      <w:r w:rsidRPr="00E93707">
        <w:rPr>
          <w:rFonts w:ascii="Times New Roman" w:hAnsi="Times New Roman" w:cs="Times New Roman"/>
          <w:sz w:val="24"/>
          <w:szCs w:val="24"/>
        </w:rPr>
        <w:t xml:space="preserve"> метода существуют не менее объективные ограничения:</w:t>
      </w:r>
    </w:p>
    <w:p w:rsidR="00E93707" w:rsidRDefault="0032527D" w:rsidP="00E93707">
      <w:pPr>
        <w:pStyle w:val="a3"/>
        <w:numPr>
          <w:ilvl w:val="0"/>
          <w:numId w:val="10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длительные сроки культивирования – от 5 дней до 2-х месяцев;</w:t>
      </w:r>
    </w:p>
    <w:p w:rsidR="00E93707" w:rsidRDefault="0032527D" w:rsidP="00E93707">
      <w:pPr>
        <w:pStyle w:val="a3"/>
        <w:numPr>
          <w:ilvl w:val="0"/>
          <w:numId w:val="10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>повышенные требования к транспортировке и хранению материала;</w:t>
      </w:r>
    </w:p>
    <w:p w:rsidR="00E93707" w:rsidRDefault="0032527D" w:rsidP="00E93707">
      <w:pPr>
        <w:pStyle w:val="a3"/>
        <w:numPr>
          <w:ilvl w:val="0"/>
          <w:numId w:val="10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>отсутствие возможности культивирования большинства анаэробов;</w:t>
      </w:r>
    </w:p>
    <w:p w:rsidR="00E93707" w:rsidRDefault="0032527D" w:rsidP="00E93707">
      <w:pPr>
        <w:pStyle w:val="a3"/>
        <w:numPr>
          <w:ilvl w:val="0"/>
          <w:numId w:val="10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>невозможность выявлять некультивируемые формы микроорганизмов;</w:t>
      </w:r>
    </w:p>
    <w:p w:rsidR="0032527D" w:rsidRPr="00E93707" w:rsidRDefault="0032527D" w:rsidP="00E93707">
      <w:pPr>
        <w:pStyle w:val="a3"/>
        <w:numPr>
          <w:ilvl w:val="0"/>
          <w:numId w:val="10"/>
        </w:numPr>
        <w:spacing w:after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E93707">
        <w:rPr>
          <w:rFonts w:ascii="Times New Roman" w:hAnsi="Times New Roman" w:cs="Times New Roman"/>
          <w:sz w:val="24"/>
          <w:szCs w:val="24"/>
        </w:rPr>
        <w:t>повышенные требования к лаборатории.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Существует несколько общих условий взятия материала для проведения исследований с помощью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культурального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метода. Пробы берут до начала антибактериальной терапии или после выведения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антибактериального препарата из организма. Если исследование необходимо провести в период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лечения, то при посеве материала в него добавляют ингибитор препарата (например,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пенициллиназу</w:t>
      </w:r>
      <w:proofErr w:type="spellEnd"/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в случае применения бета-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лактамного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антибиотика).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Количество материала должно быть достаточным для проведения анализа. Материал, полученный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от больных с хроническими вялотекущими инфекционными процессами, содержит меньше микроорганизмов,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чем при остром процессе, поэтому для выделения возбудителя требуется большее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его количество.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Транспортировку материала для исследования осуществляют в предельно сжатые сроки. Охлаждение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материала в холодильнике при температуре 4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(или на льду) позволяет увеличить время до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начала исследования на 30-60 мин. Более длительное хранение может привести к гибели возбудителей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или изменению количественных соотношений компонентов микрофлоры.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Поэтому в случаях, когда хранение и транспортировка длятся более суток, используют консервант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или транспортные (поддерживающие, накопительные) среды и специальные средства, сохраняющие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жизнедеятельность микроорганизмов. Так, для транспортировки образцов материала, предназначенных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для выделения анаэробных бактерий, применяют герметизированные флаконы или пробирки,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заполненные бескислородным газом.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В некоторых случаях посев необходимо производить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tempore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(при коклюше, менингококковой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инфекции, дизентерии). Методы, позволяющие провести посев </w:t>
      </w:r>
      <w:r w:rsidRPr="0032527D">
        <w:rPr>
          <w:rFonts w:ascii="Times New Roman" w:hAnsi="Times New Roman" w:cs="Times New Roman"/>
          <w:sz w:val="24"/>
          <w:szCs w:val="24"/>
        </w:rPr>
        <w:lastRenderedPageBreak/>
        <w:t>материала у постели больного,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значительно повышают вероятность выделения возбудителя.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32527D">
        <w:rPr>
          <w:rFonts w:ascii="Times New Roman" w:hAnsi="Times New Roman" w:cs="Times New Roman"/>
          <w:sz w:val="24"/>
          <w:szCs w:val="24"/>
        </w:rPr>
        <w:t xml:space="preserve">При соблюдении перечисленных требований чувствительность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культурального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метода, например,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при диагностике гонореи у мужчин, составляет – 95-98%, тогда как у женщин – не более 80-85%. В случае выявления трихомонады – 70-85%,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С.trachomatis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– 60-80%. Во всех перечисленных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случаях метод ПЦР демонстрирует чувствительность не менее 95-98%.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Метод ПЦР особенно эффективен при выявлении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труднокультивируемых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некультивируемых,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требующих сложной питательной среды и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персистирующих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форм микроорганизмов, с которыми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часто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приходится сталкиваться при латентных и хронических инфекциях, поскольку этот метод позволяет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избежать сложностей, связанных с выращиванием таких микроорганизмов в лабораторных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условиях.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Некультивируемыми называют такие формы микроорганизмов, которые в ответ на действие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неблагоприятных факторов прекращают рост на питательных средах, но сохраняют жизнеспособность,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а при улучшении условий культивирования возобновляют пролиферацию. В настоящее время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известно около 45 видов микроорганизмов, относящихся к 30 родам, у которых обнаружена некультивируемая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форма.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Из них 30 видов – патогенны для человека, 15 видов – условно-патогенны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или являются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эубионтами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человека, животных или растений.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 xml:space="preserve"> Среди бактерий есть возбудители таких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инфекций, как чума, холера,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тулерямия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, легионеллез,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шигеллез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>, сальмонеллез.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 xml:space="preserve">Достаточно часто наблюдаются расхождения результатов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культурального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метода и ПЦР на этапе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количественной оценки компонентов сложных систем, таких, как биоценозы. Это вполне объяснимо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с точки зрения невозможности синхронизировать рост микроорганизмов – компонентов биоценоза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- и определить их соотношения в единицу времени. </w:t>
      </w:r>
      <w:proofErr w:type="gramStart"/>
      <w:r w:rsidRPr="0032527D">
        <w:rPr>
          <w:rFonts w:ascii="Times New Roman" w:hAnsi="Times New Roman" w:cs="Times New Roman"/>
          <w:sz w:val="24"/>
          <w:szCs w:val="24"/>
        </w:rPr>
        <w:t>Кроме того, основные этиологические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агенты анаэробных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дисбиозов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не культивируются в стандартных лабораторных условиях, что искажает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картину при анализе состояния микрофлоры того или иного биотопа.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2527D">
        <w:rPr>
          <w:rFonts w:ascii="Times New Roman" w:hAnsi="Times New Roman" w:cs="Times New Roman"/>
          <w:sz w:val="24"/>
          <w:szCs w:val="24"/>
        </w:rPr>
        <w:t>Таким образом, можно заключить, что несовпадение результатов между различными лабораторными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методами исследования и ПЦР – достаточно распространенная ситуация, которая обоснована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пределами чувствительности методов, поставленными задачами и квалификацией специалиста.</w:t>
      </w:r>
    </w:p>
    <w:p w:rsidR="0032527D" w:rsidRPr="0032527D" w:rsidRDefault="0032527D" w:rsidP="0032527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32527D">
        <w:rPr>
          <w:rFonts w:ascii="Times New Roman" w:hAnsi="Times New Roman" w:cs="Times New Roman"/>
          <w:sz w:val="24"/>
          <w:szCs w:val="24"/>
        </w:rPr>
        <w:t>Проведенная в зарубежных исследовательских центрах оценка чувствительности различных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>методов диагностики показала, что экспресс-тесты, имеют чувствительность 40-60%,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r w:rsidRPr="0032527D">
        <w:rPr>
          <w:rFonts w:ascii="Times New Roman" w:hAnsi="Times New Roman" w:cs="Times New Roman"/>
          <w:sz w:val="24"/>
          <w:szCs w:val="24"/>
        </w:rPr>
        <w:t xml:space="preserve">ИФА-50-70 %, прямая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иммунофлуоресценция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– 55-75%, </w:t>
      </w:r>
      <w:proofErr w:type="spellStart"/>
      <w:r w:rsidRPr="0032527D">
        <w:rPr>
          <w:rFonts w:ascii="Times New Roman" w:hAnsi="Times New Roman" w:cs="Times New Roman"/>
          <w:sz w:val="24"/>
          <w:szCs w:val="24"/>
        </w:rPr>
        <w:t>культуральное</w:t>
      </w:r>
      <w:proofErr w:type="spellEnd"/>
      <w:r w:rsidRPr="0032527D">
        <w:rPr>
          <w:rFonts w:ascii="Times New Roman" w:hAnsi="Times New Roman" w:cs="Times New Roman"/>
          <w:sz w:val="24"/>
          <w:szCs w:val="24"/>
        </w:rPr>
        <w:t xml:space="preserve"> исследование – 60-80%,</w:t>
      </w:r>
      <w:r w:rsidR="00E9370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2527D">
        <w:rPr>
          <w:rFonts w:ascii="Times New Roman" w:hAnsi="Times New Roman" w:cs="Times New Roman"/>
          <w:sz w:val="24"/>
          <w:szCs w:val="24"/>
        </w:rPr>
        <w:t>а ПЦР – 90-100 %</w:t>
      </w:r>
    </w:p>
    <w:sectPr w:rsidR="0032527D" w:rsidRPr="00325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28C1"/>
    <w:multiLevelType w:val="hybridMultilevel"/>
    <w:tmpl w:val="4C7C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71BE6"/>
    <w:multiLevelType w:val="hybridMultilevel"/>
    <w:tmpl w:val="846C84F0"/>
    <w:lvl w:ilvl="0" w:tplc="143E1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30F40"/>
    <w:multiLevelType w:val="hybridMultilevel"/>
    <w:tmpl w:val="6414EE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97E3D8D"/>
    <w:multiLevelType w:val="hybridMultilevel"/>
    <w:tmpl w:val="FB187E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E637FE1"/>
    <w:multiLevelType w:val="hybridMultilevel"/>
    <w:tmpl w:val="7B2CB2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11015DE"/>
    <w:multiLevelType w:val="hybridMultilevel"/>
    <w:tmpl w:val="444EC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E0B4C"/>
    <w:multiLevelType w:val="hybridMultilevel"/>
    <w:tmpl w:val="3D4A8F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D46CD3"/>
    <w:multiLevelType w:val="hybridMultilevel"/>
    <w:tmpl w:val="6A56C3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C003DE8"/>
    <w:multiLevelType w:val="hybridMultilevel"/>
    <w:tmpl w:val="44945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6CF44D8"/>
    <w:multiLevelType w:val="hybridMultilevel"/>
    <w:tmpl w:val="C854F8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7D"/>
    <w:rsid w:val="0032527D"/>
    <w:rsid w:val="003A6D81"/>
    <w:rsid w:val="00622665"/>
    <w:rsid w:val="00697513"/>
    <w:rsid w:val="00D06D6F"/>
    <w:rsid w:val="00E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5328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Dr@gon</dc:creator>
  <cp:lastModifiedBy>Dr@gon</cp:lastModifiedBy>
  <cp:revision>5</cp:revision>
  <dcterms:created xsi:type="dcterms:W3CDTF">2018-09-16T12:24:00Z</dcterms:created>
  <dcterms:modified xsi:type="dcterms:W3CDTF">2018-09-16T13:02:00Z</dcterms:modified>
</cp:coreProperties>
</file>