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19" w:rsidRPr="00301B19" w:rsidRDefault="00301B19" w:rsidP="00301B19">
      <w:pPr>
        <w:pStyle w:val="33330"/>
        <w:rPr>
          <w:b/>
          <w:color w:val="000000" w:themeColor="text1"/>
        </w:rPr>
      </w:pPr>
      <w:r w:rsidRPr="00301B19">
        <w:rPr>
          <w:b/>
          <w:color w:val="000000" w:themeColor="text1"/>
        </w:rPr>
        <w:t xml:space="preserve">Тема:  Полимеразная цепная реакция. </w:t>
      </w:r>
    </w:p>
    <w:p w:rsidR="00301B19" w:rsidRDefault="00301B19" w:rsidP="00301B19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301B19" w:rsidRDefault="00301B19" w:rsidP="00301B1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301B19" w:rsidRDefault="00301B19" w:rsidP="00301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компоненты ПЦР-смеси и их роль. </w:t>
      </w:r>
    </w:p>
    <w:p w:rsidR="00301B19" w:rsidRDefault="00301B19" w:rsidP="00301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Этапы и температурные режимы. </w:t>
      </w:r>
    </w:p>
    <w:p w:rsidR="00301B19" w:rsidRDefault="00301B19" w:rsidP="00301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Ингибиторы ПЦР. </w:t>
      </w:r>
    </w:p>
    <w:p w:rsidR="00301B19" w:rsidRDefault="00301B19" w:rsidP="00301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Проблема контаминации. </w:t>
      </w:r>
    </w:p>
    <w:p w:rsidR="00301B19" w:rsidRDefault="00301B19" w:rsidP="00301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Контроли в реакции амплификации.</w:t>
      </w:r>
    </w:p>
    <w:p w:rsidR="00301B19" w:rsidRDefault="00301B19" w:rsidP="00301B19">
      <w:pPr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1B19" w:rsidRDefault="00301B19" w:rsidP="00301B19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Краткое содержание занятия: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Полимеразная цепная реакция (ПЦР) - метод амплификации ДНК </w:t>
      </w:r>
      <w:proofErr w:type="spellStart"/>
      <w:r>
        <w:rPr>
          <w:i/>
          <w:sz w:val="28"/>
          <w:szCs w:val="28"/>
        </w:rPr>
        <w:t>in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vitro</w:t>
      </w:r>
      <w:proofErr w:type="spellEnd"/>
      <w:r>
        <w:rPr>
          <w:sz w:val="28"/>
          <w:szCs w:val="28"/>
        </w:rPr>
        <w:t>, с помощью которого в течение нескольких часов можно выделить и размножить определённую последовательность ДНК в миллиарды раз. Возможность получения огромного количества копий одного строго определённого участка генома значительно упрощает исследование имеющегося образца ДНК.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- пара искусственно </w:t>
      </w:r>
      <w:proofErr w:type="gramStart"/>
      <w:r>
        <w:rPr>
          <w:sz w:val="28"/>
          <w:szCs w:val="28"/>
        </w:rPr>
        <w:t>синтезированных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олигонуклеотидов</w:t>
      </w:r>
      <w:proofErr w:type="spellEnd"/>
      <w:r>
        <w:rPr>
          <w:sz w:val="28"/>
          <w:szCs w:val="28"/>
        </w:rPr>
        <w:t xml:space="preserve">, имеющих, как правило, размер от 15 до 30 п. н., идентичные соответствующим участкам ДНК-мишени. Они играют ключевую роль в образовании продуктов реакции амплификации. Правильно подобранные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обеспечивают специфичность и чувствительность тест-системы.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Taq</w:t>
      </w:r>
      <w:proofErr w:type="spellEnd"/>
      <w:r>
        <w:rPr>
          <w:sz w:val="28"/>
          <w:szCs w:val="28"/>
        </w:rPr>
        <w:t xml:space="preserve">-полимераза - термостабильный фермент, обеспечивающий достраивание 3’-конца второй цепи ДНК согласно принципу </w:t>
      </w:r>
      <w:proofErr w:type="spellStart"/>
      <w:r>
        <w:rPr>
          <w:sz w:val="28"/>
          <w:szCs w:val="28"/>
        </w:rPr>
        <w:t>комплементарности</w:t>
      </w:r>
      <w:proofErr w:type="spellEnd"/>
      <w:r>
        <w:rPr>
          <w:sz w:val="28"/>
          <w:szCs w:val="28"/>
        </w:rPr>
        <w:t>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Смесь </w:t>
      </w:r>
      <w:proofErr w:type="spellStart"/>
      <w:r>
        <w:rPr>
          <w:sz w:val="28"/>
          <w:szCs w:val="28"/>
        </w:rPr>
        <w:t>дезоксинуклеотидтрифосфатов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дНТФ</w:t>
      </w:r>
      <w:proofErr w:type="spellEnd"/>
      <w:r>
        <w:rPr>
          <w:sz w:val="28"/>
          <w:szCs w:val="28"/>
        </w:rPr>
        <w:t xml:space="preserve">) - </w:t>
      </w:r>
      <w:proofErr w:type="spellStart"/>
      <w:r>
        <w:rPr>
          <w:sz w:val="28"/>
          <w:szCs w:val="28"/>
        </w:rPr>
        <w:t>дезоксиаденозинтрифосфат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дАТФ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дезоксигуанозинтрифосфат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дГТФ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дезоксицитозинтрифосфат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дЦТФ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дезокситимидинтрифосфат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дТТФ</w:t>
      </w:r>
      <w:proofErr w:type="spellEnd"/>
      <w:r>
        <w:rPr>
          <w:sz w:val="28"/>
          <w:szCs w:val="28"/>
        </w:rPr>
        <w:t xml:space="preserve">) - "строительный материал", используемый </w:t>
      </w:r>
      <w:proofErr w:type="spellStart"/>
      <w:r>
        <w:rPr>
          <w:sz w:val="28"/>
          <w:szCs w:val="28"/>
        </w:rPr>
        <w:t>Taq</w:t>
      </w:r>
      <w:proofErr w:type="spellEnd"/>
      <w:r>
        <w:rPr>
          <w:sz w:val="28"/>
          <w:szCs w:val="28"/>
        </w:rPr>
        <w:t>-полимеразой для синтеза второй цепи ДНК;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Буфер - смесь катионов и анионов в определенной концентрации, обеспечивающих оптимальные условия для реакции, а также стабильное значение рН;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Анализируемый образец - подготовленный к внесению в реакционную смесь препарат, который может содержать искомую ДНК, служащую мишенью для последующего многократного копирования (например, ДНК микроорганизмов). При отсутствии ДНК-мишени специфический продукт амплификации не образуется.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анализируемом образце присутствует искомая ДНК, то в процессе реакции амплификации с ней происходит ряд событий, обеспечиваемых определенными температурными циклами. Каждый цикл амплификации состоит из трех этапов.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Денатурация. На первом этапе необходимо денатурировать ДНК, находящуюся в образце. Для этого реакционную смесь нагревают до 92-95</w:t>
      </w:r>
      <w:proofErr w:type="gramStart"/>
      <w:r>
        <w:rPr>
          <w:sz w:val="28"/>
          <w:szCs w:val="28"/>
        </w:rPr>
        <w:t xml:space="preserve">° </w:t>
      </w:r>
      <w:r>
        <w:rPr>
          <w:sz w:val="28"/>
          <w:szCs w:val="28"/>
        </w:rPr>
        <w:lastRenderedPageBreak/>
        <w:t>С</w:t>
      </w:r>
      <w:proofErr w:type="gramEnd"/>
      <w:r>
        <w:rPr>
          <w:sz w:val="28"/>
          <w:szCs w:val="28"/>
        </w:rPr>
        <w:t xml:space="preserve">, в результате чего </w:t>
      </w:r>
      <w:proofErr w:type="spellStart"/>
      <w:r>
        <w:rPr>
          <w:sz w:val="28"/>
          <w:szCs w:val="28"/>
        </w:rPr>
        <w:t>двухцепочечные</w:t>
      </w:r>
      <w:proofErr w:type="spellEnd"/>
      <w:r>
        <w:rPr>
          <w:sz w:val="28"/>
          <w:szCs w:val="28"/>
        </w:rPr>
        <w:t xml:space="preserve"> молекулы ДНК расплетаются с образованием двух </w:t>
      </w:r>
      <w:proofErr w:type="spellStart"/>
      <w:r>
        <w:rPr>
          <w:sz w:val="28"/>
          <w:szCs w:val="28"/>
        </w:rPr>
        <w:t>одноцепочечных</w:t>
      </w:r>
      <w:proofErr w:type="spellEnd"/>
      <w:r>
        <w:rPr>
          <w:sz w:val="28"/>
          <w:szCs w:val="28"/>
        </w:rPr>
        <w:t xml:space="preserve"> молекул. Этот процесс длится не менее 1 минуты.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Отжиг. На втором этапе температуру смеси понижают до 55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присоединяются к </w:t>
      </w:r>
      <w:proofErr w:type="spellStart"/>
      <w:r>
        <w:rPr>
          <w:sz w:val="28"/>
          <w:szCs w:val="28"/>
        </w:rPr>
        <w:t>одноцепочечной</w:t>
      </w:r>
      <w:proofErr w:type="spellEnd"/>
      <w:r>
        <w:rPr>
          <w:sz w:val="28"/>
          <w:szCs w:val="28"/>
        </w:rPr>
        <w:t xml:space="preserve"> ДНК-мишени.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выбирают так, что они ограничивают искомый фрагмент и комплементарны противоположным цепям ДНК.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Отжиг происходит в соответствии с правилом </w:t>
      </w:r>
      <w:proofErr w:type="spellStart"/>
      <w:r>
        <w:rPr>
          <w:sz w:val="28"/>
          <w:szCs w:val="28"/>
        </w:rPr>
        <w:t>комплементарности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Чаргаффа</w:t>
      </w:r>
      <w:proofErr w:type="spellEnd"/>
      <w:r>
        <w:rPr>
          <w:sz w:val="28"/>
          <w:szCs w:val="28"/>
        </w:rPr>
        <w:t>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отжига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Taq</w:t>
      </w:r>
      <w:proofErr w:type="spellEnd"/>
      <w:r>
        <w:rPr>
          <w:sz w:val="28"/>
          <w:szCs w:val="28"/>
        </w:rPr>
        <w:t xml:space="preserve">-полимераза начинает достраивание второй цепи ДНК, начиная с 3’-конца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>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Элонгация (синтез). На третьем этапе температуру в реакционной смеси доводят до оптимума работы </w:t>
      </w:r>
      <w:proofErr w:type="spellStart"/>
      <w:r>
        <w:rPr>
          <w:sz w:val="28"/>
          <w:szCs w:val="28"/>
        </w:rPr>
        <w:t>Taq</w:t>
      </w:r>
      <w:proofErr w:type="spellEnd"/>
      <w:r>
        <w:rPr>
          <w:sz w:val="28"/>
          <w:szCs w:val="28"/>
        </w:rPr>
        <w:t>-полимеразы - 75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, и начинается синтез комплементарной цепи ДНК, инициируемый 3’-гидроксильной группой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>, с максимальной эффективностью.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Иногда, в случае близкого значения температуры отжига </w:t>
      </w:r>
      <w:proofErr w:type="spellStart"/>
      <w:r>
        <w:rPr>
          <w:sz w:val="28"/>
          <w:szCs w:val="28"/>
        </w:rPr>
        <w:t>праймеров</w:t>
      </w:r>
      <w:proofErr w:type="spellEnd"/>
      <w:r>
        <w:rPr>
          <w:sz w:val="28"/>
          <w:szCs w:val="28"/>
        </w:rPr>
        <w:t xml:space="preserve"> к температуре оптимума работы фермента, становится возможным использовать </w:t>
      </w:r>
      <w:proofErr w:type="spellStart"/>
      <w:r>
        <w:rPr>
          <w:sz w:val="28"/>
          <w:szCs w:val="28"/>
        </w:rPr>
        <w:t>двухстадийный</w:t>
      </w:r>
      <w:proofErr w:type="spellEnd"/>
      <w:r>
        <w:rPr>
          <w:sz w:val="28"/>
          <w:szCs w:val="28"/>
        </w:rPr>
        <w:t xml:space="preserve"> цикл ПЦР, совместив две стадии - отжиг и элонгацию - в одной.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этапы денатурации, отжига и элонгации многократно повторяются (30 и более раз). На каждом цикле количество синтезированных копий фрагмента ДНК удваивается.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значение эффективности отдельных циклов амплификации составляет, по некоторым данным, 78-97%. В случае присутствия в пробе ингибиторов реакции это значение может быть намного меньше.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реакции проводят в пробирках, погруженных в термостат. Смена температурного режима и его поддержание осуществляется автоматически. Каждый цикл обычно длится 3 - 5 минут.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цикл. ДНК-мишень фланкирована определенными последовательностями. К образцу ДНК добавляют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(Р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и Р2), ДНК-полимеразу </w:t>
      </w:r>
      <w:proofErr w:type="spellStart"/>
      <w:r>
        <w:rPr>
          <w:sz w:val="28"/>
          <w:szCs w:val="28"/>
        </w:rPr>
        <w:t>Taq</w:t>
      </w:r>
      <w:proofErr w:type="spellEnd"/>
      <w:r>
        <w:rPr>
          <w:sz w:val="28"/>
          <w:szCs w:val="28"/>
        </w:rPr>
        <w:t xml:space="preserve"> и четыре </w:t>
      </w:r>
      <w:proofErr w:type="spellStart"/>
      <w:r>
        <w:rPr>
          <w:sz w:val="28"/>
          <w:szCs w:val="28"/>
        </w:rPr>
        <w:t>дНТФ</w:t>
      </w:r>
      <w:proofErr w:type="spellEnd"/>
      <w:r>
        <w:rPr>
          <w:sz w:val="28"/>
          <w:szCs w:val="28"/>
        </w:rPr>
        <w:t xml:space="preserve">. Здесь каждая из </w:t>
      </w:r>
      <w:proofErr w:type="spellStart"/>
      <w:r>
        <w:rPr>
          <w:sz w:val="28"/>
          <w:szCs w:val="28"/>
        </w:rPr>
        <w:t>новосинтезированных</w:t>
      </w:r>
      <w:proofErr w:type="spellEnd"/>
      <w:r>
        <w:rPr>
          <w:sz w:val="28"/>
          <w:szCs w:val="28"/>
        </w:rPr>
        <w:t xml:space="preserve"> цепей имеет </w:t>
      </w:r>
      <w:proofErr w:type="gramStart"/>
      <w:r>
        <w:rPr>
          <w:sz w:val="28"/>
          <w:szCs w:val="28"/>
        </w:rPr>
        <w:t>гораздо большую</w:t>
      </w:r>
      <w:proofErr w:type="gramEnd"/>
      <w:r>
        <w:rPr>
          <w:sz w:val="28"/>
          <w:szCs w:val="28"/>
        </w:rPr>
        <w:t xml:space="preserve"> длину, чем расстояние от 3’-гидроксильной группы "её" </w:t>
      </w:r>
      <w:proofErr w:type="spellStart"/>
      <w:r>
        <w:rPr>
          <w:sz w:val="28"/>
          <w:szCs w:val="28"/>
        </w:rPr>
        <w:t>праймера</w:t>
      </w:r>
      <w:proofErr w:type="spellEnd"/>
      <w:r>
        <w:rPr>
          <w:sz w:val="28"/>
          <w:szCs w:val="28"/>
        </w:rPr>
        <w:t xml:space="preserve"> до концевого нуклеотида последовательности, комплементарной второму </w:t>
      </w:r>
      <w:proofErr w:type="spellStart"/>
      <w:r>
        <w:rPr>
          <w:sz w:val="28"/>
          <w:szCs w:val="28"/>
        </w:rPr>
        <w:t>праймеру</w:t>
      </w:r>
      <w:proofErr w:type="spellEnd"/>
      <w:r>
        <w:rPr>
          <w:sz w:val="28"/>
          <w:szCs w:val="28"/>
        </w:rPr>
        <w:t xml:space="preserve">. Такие цепи называют "длинными </w:t>
      </w:r>
      <w:proofErr w:type="spellStart"/>
      <w:r>
        <w:rPr>
          <w:sz w:val="28"/>
          <w:szCs w:val="28"/>
        </w:rPr>
        <w:t>матрецами</w:t>
      </w:r>
      <w:proofErr w:type="spellEnd"/>
      <w:r>
        <w:rPr>
          <w:sz w:val="28"/>
          <w:szCs w:val="28"/>
        </w:rPr>
        <w:t>", именно на них будет идти дальнейший синтез. Эти цепи служат матрицами во втором раунде ПЦР.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втором цикле </w:t>
      </w:r>
      <w:proofErr w:type="spellStart"/>
      <w:r>
        <w:rPr>
          <w:sz w:val="28"/>
          <w:szCs w:val="28"/>
        </w:rPr>
        <w:t>двухцепочечную</w:t>
      </w:r>
      <w:proofErr w:type="spellEnd"/>
      <w:r>
        <w:rPr>
          <w:sz w:val="28"/>
          <w:szCs w:val="28"/>
        </w:rPr>
        <w:t xml:space="preserve"> ДНК, состоящую из исходной и </w:t>
      </w:r>
      <w:proofErr w:type="spellStart"/>
      <w:r>
        <w:rPr>
          <w:sz w:val="28"/>
          <w:szCs w:val="28"/>
        </w:rPr>
        <w:t>новосинтезированной</w:t>
      </w:r>
      <w:proofErr w:type="spellEnd"/>
      <w:r>
        <w:rPr>
          <w:sz w:val="28"/>
          <w:szCs w:val="28"/>
        </w:rPr>
        <w:t xml:space="preserve"> ("длинная матрица") цепей, вновь денатурируют, а затем отжигают с </w:t>
      </w:r>
      <w:proofErr w:type="spellStart"/>
      <w:r>
        <w:rPr>
          <w:sz w:val="28"/>
          <w:szCs w:val="28"/>
        </w:rPr>
        <w:t>праймерами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 отжиге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гобридизуются</w:t>
      </w:r>
      <w:proofErr w:type="spellEnd"/>
      <w:r>
        <w:rPr>
          <w:sz w:val="28"/>
          <w:szCs w:val="28"/>
        </w:rPr>
        <w:t xml:space="preserve"> с комплементарными им участками как исходных цепей, так и "длинных матриц", синтезированных в первом цикле. В результате ферментативного синтеза на исходных цепях синтезируются "длинные матрицы", а на "длинных матрицах" - "короткие", с </w:t>
      </w:r>
      <w:proofErr w:type="spellStart"/>
      <w:r>
        <w:rPr>
          <w:sz w:val="28"/>
          <w:szCs w:val="28"/>
        </w:rPr>
        <w:t>праймером</w:t>
      </w:r>
      <w:proofErr w:type="spellEnd"/>
      <w:r>
        <w:rPr>
          <w:sz w:val="28"/>
          <w:szCs w:val="28"/>
        </w:rPr>
        <w:t xml:space="preserve"> на одном конце и с последовательностью, комплементарной второму </w:t>
      </w:r>
      <w:proofErr w:type="spellStart"/>
      <w:r>
        <w:rPr>
          <w:sz w:val="28"/>
          <w:szCs w:val="28"/>
        </w:rPr>
        <w:t>праймер</w:t>
      </w:r>
      <w:proofErr w:type="spellEnd"/>
      <w:r>
        <w:rPr>
          <w:sz w:val="28"/>
          <w:szCs w:val="28"/>
        </w:rPr>
        <w:t>, на другом.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третьем цикле все </w:t>
      </w:r>
      <w:proofErr w:type="spellStart"/>
      <w:r>
        <w:rPr>
          <w:sz w:val="28"/>
          <w:szCs w:val="28"/>
        </w:rPr>
        <w:t>гетеродуплуксы</w:t>
      </w:r>
      <w:proofErr w:type="spellEnd"/>
      <w:r>
        <w:rPr>
          <w:sz w:val="28"/>
          <w:szCs w:val="28"/>
        </w:rPr>
        <w:t xml:space="preserve">, образовавшиеся ранее, одновременно подвергаются денатурации и отжигу с </w:t>
      </w:r>
      <w:proofErr w:type="spellStart"/>
      <w:r>
        <w:rPr>
          <w:sz w:val="28"/>
          <w:szCs w:val="28"/>
        </w:rPr>
        <w:t>праймерами</w:t>
      </w:r>
      <w:proofErr w:type="spellEnd"/>
      <w:r>
        <w:rPr>
          <w:sz w:val="28"/>
          <w:szCs w:val="28"/>
        </w:rPr>
        <w:t xml:space="preserve">, а затем </w:t>
      </w:r>
      <w:proofErr w:type="spellStart"/>
      <w:r>
        <w:rPr>
          <w:sz w:val="28"/>
          <w:szCs w:val="28"/>
        </w:rPr>
        <w:t>реплецируются</w:t>
      </w:r>
      <w:proofErr w:type="spellEnd"/>
      <w:r>
        <w:rPr>
          <w:sz w:val="28"/>
          <w:szCs w:val="28"/>
        </w:rPr>
        <w:t xml:space="preserve">. При отжиге </w:t>
      </w:r>
      <w:proofErr w:type="spellStart"/>
      <w:r>
        <w:rPr>
          <w:sz w:val="28"/>
          <w:szCs w:val="28"/>
        </w:rPr>
        <w:t>праймеры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гибридизуются</w:t>
      </w:r>
      <w:proofErr w:type="spellEnd"/>
      <w:r>
        <w:rPr>
          <w:sz w:val="28"/>
          <w:szCs w:val="28"/>
        </w:rPr>
        <w:t xml:space="preserve"> с комплементарными участками исходных цепей, а также "длинных" и "коротких" матриц. При ферментативном синтезе </w:t>
      </w:r>
      <w:proofErr w:type="spellStart"/>
      <w:r>
        <w:rPr>
          <w:i/>
          <w:sz w:val="28"/>
          <w:szCs w:val="28"/>
        </w:rPr>
        <w:t>in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vitro</w:t>
      </w:r>
      <w:proofErr w:type="spellEnd"/>
      <w:r>
        <w:rPr>
          <w:sz w:val="28"/>
          <w:szCs w:val="28"/>
        </w:rPr>
        <w:t xml:space="preserve"> на исходных цепях синтезируются "длинные матрицы", а на "длинных" и "коротких" матрицах - только "короткие матрицы".</w:t>
      </w:r>
    </w:p>
    <w:p w:rsidR="00301B19" w:rsidRDefault="00301B19" w:rsidP="00301B1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послудующих</w:t>
      </w:r>
      <w:proofErr w:type="spellEnd"/>
      <w:r>
        <w:rPr>
          <w:sz w:val="28"/>
          <w:szCs w:val="28"/>
        </w:rPr>
        <w:t xml:space="preserve"> циклах число "коротких матриц" становится все больше.</w:t>
      </w:r>
    </w:p>
    <w:p w:rsidR="00301B19" w:rsidRDefault="00301B19" w:rsidP="00301B1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специфические фрагменты, ограниченные на концах </w:t>
      </w:r>
      <w:proofErr w:type="spellStart"/>
      <w:r>
        <w:rPr>
          <w:sz w:val="28"/>
          <w:szCs w:val="28"/>
        </w:rPr>
        <w:t>праймерами</w:t>
      </w:r>
      <w:proofErr w:type="spellEnd"/>
      <w:r>
        <w:rPr>
          <w:sz w:val="28"/>
          <w:szCs w:val="28"/>
        </w:rPr>
        <w:t>, впервые появляются в конце второго цикла, накапливаются в геометрической прогрессии и очень скоро начинают доминировать среди продуктов амплификации.</w:t>
      </w: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16D7D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19"/>
    <w:rsid w:val="00301B19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1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301B19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301B19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01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1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301B19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301B19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01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2020-07-14T05:30:00Z</dcterms:created>
  <dcterms:modified xsi:type="dcterms:W3CDTF">2020-07-14T05:31:00Z</dcterms:modified>
</cp:coreProperties>
</file>