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90" w:rsidRDefault="00CF2490" w:rsidP="00CF2490">
      <w:pPr>
        <w:pStyle w:val="33330"/>
        <w:jc w:val="center"/>
        <w:rPr>
          <w:b/>
        </w:rPr>
      </w:pPr>
      <w:r w:rsidRPr="00CF2490">
        <w:rPr>
          <w:b/>
          <w:color w:val="000000" w:themeColor="text1"/>
        </w:rPr>
        <w:t>Конструирование</w:t>
      </w:r>
      <w:r w:rsidRPr="00CF2490">
        <w:rPr>
          <w:b/>
          <w:i/>
          <w:color w:val="000000" w:themeColor="text1"/>
        </w:rPr>
        <w:t xml:space="preserve"> </w:t>
      </w:r>
      <w:proofErr w:type="spellStart"/>
      <w:r w:rsidRPr="00CF2490">
        <w:rPr>
          <w:b/>
          <w:color w:val="000000" w:themeColor="text1"/>
        </w:rPr>
        <w:t>олигонуклеотидных</w:t>
      </w:r>
      <w:proofErr w:type="spellEnd"/>
      <w:r w:rsidRPr="00CF2490">
        <w:rPr>
          <w:b/>
          <w:color w:val="000000" w:themeColor="text1"/>
        </w:rPr>
        <w:t xml:space="preserve"> затравок для</w:t>
      </w:r>
      <w:r w:rsidRPr="00CF2490">
        <w:rPr>
          <w:b/>
          <w:i/>
          <w:color w:val="000000" w:themeColor="text1"/>
        </w:rPr>
        <w:t xml:space="preserve"> </w:t>
      </w:r>
      <w:r w:rsidRPr="00CF2490">
        <w:rPr>
          <w:b/>
          <w:color w:val="000000" w:themeColor="text1"/>
        </w:rPr>
        <w:t>полимеразной цепной реакции.</w:t>
      </w:r>
    </w:p>
    <w:p w:rsidR="00CF2490" w:rsidRDefault="00CF2490" w:rsidP="00CF2490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CF2490" w:rsidRDefault="00CF2490" w:rsidP="00CF2490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занятия:</w:t>
      </w:r>
    </w:p>
    <w:p w:rsidR="00CF2490" w:rsidRDefault="00CF2490" w:rsidP="00CF2490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CF2490" w:rsidRDefault="00CF2490" w:rsidP="00CF2490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создании ПЦР-тест-системы одной из основных задач является правильный подбор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>, которые должны отвечать ряду критериев:</w:t>
      </w:r>
    </w:p>
    <w:p w:rsidR="00CF2490" w:rsidRDefault="00CF2490" w:rsidP="00CF2490">
      <w:pPr>
        <w:pStyle w:val="a5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должны быть специфичны. Особое внимание уделяют 3’-концам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.к</w:t>
      </w:r>
      <w:proofErr w:type="spellEnd"/>
      <w:proofErr w:type="gramEnd"/>
      <w:r>
        <w:rPr>
          <w:sz w:val="28"/>
          <w:szCs w:val="28"/>
        </w:rPr>
        <w:t xml:space="preserve"> именно с них начинает достраивать комплементарную цепь ДНК </w:t>
      </w: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 xml:space="preserve">-полимераза. Если их специфичность недостаточна, то, вероятно, что в пробирке с реакционной смесью будут происходить нежелательные процессы, а именно, синтез неспецифической ДНК (коротких или длинных фрагментов). Она видна на электрофорезе в виде тяжелых или легких дополнительных полос. Это мешает оценке результатов реакции,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.к</w:t>
      </w:r>
      <w:proofErr w:type="spellEnd"/>
      <w:proofErr w:type="gramEnd"/>
      <w:r>
        <w:rPr>
          <w:sz w:val="28"/>
          <w:szCs w:val="28"/>
        </w:rPr>
        <w:t xml:space="preserve"> легко перепутать специфический продукт амплификации с синтезированной посторонней ДНК. Часть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дНТФ</w:t>
      </w:r>
      <w:proofErr w:type="spellEnd"/>
      <w:r>
        <w:rPr>
          <w:sz w:val="28"/>
          <w:szCs w:val="28"/>
        </w:rPr>
        <w:t xml:space="preserve"> расходуется на синтез неспецифической ДНК, что приводит к значительной потере чувствительности.</w:t>
      </w:r>
    </w:p>
    <w:p w:rsidR="00CF2490" w:rsidRDefault="00CF2490" w:rsidP="00CF2490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не должны образовывать </w:t>
      </w:r>
      <w:proofErr w:type="spellStart"/>
      <w:r>
        <w:rPr>
          <w:sz w:val="28"/>
          <w:szCs w:val="28"/>
        </w:rPr>
        <w:t>димеры</w:t>
      </w:r>
      <w:proofErr w:type="spellEnd"/>
      <w:r>
        <w:rPr>
          <w:sz w:val="28"/>
          <w:szCs w:val="28"/>
        </w:rPr>
        <w:t xml:space="preserve"> и петли, т.е. не должно образовываться устойчивых двойных цепей в результате отжига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самих на себя или друг с другом.</w:t>
      </w:r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 xml:space="preserve"> должен быть 16-25 нуклеотидов. Меньше 16-ти: слабая связь с целью</w:t>
      </w:r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Разница в температуре плавления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- не более 2 градусов</w:t>
      </w:r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+Г должно быть 40-60 %</w:t>
      </w:r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улучшения качества отжига рекомендуется подбирать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так, чтобы последние несколько нуклеотидов 3' - конца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 xml:space="preserve"> содержали GC-основания</w:t>
      </w:r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proofErr w:type="spellStart"/>
      <w:r>
        <w:rPr>
          <w:sz w:val="28"/>
          <w:szCs w:val="28"/>
        </w:rPr>
        <w:t>комплементарности</w:t>
      </w:r>
      <w:proofErr w:type="spellEnd"/>
      <w:r>
        <w:rPr>
          <w:sz w:val="28"/>
          <w:szCs w:val="28"/>
        </w:rPr>
        <w:t xml:space="preserve"> между 3'-концами (чтобы не образовывалось </w:t>
      </w:r>
      <w:proofErr w:type="spellStart"/>
      <w:r>
        <w:rPr>
          <w:sz w:val="28"/>
          <w:szCs w:val="28"/>
        </w:rPr>
        <w:t>праймер-димеров</w:t>
      </w:r>
      <w:proofErr w:type="spellEnd"/>
      <w:r>
        <w:rPr>
          <w:sz w:val="28"/>
          <w:szCs w:val="28"/>
        </w:rPr>
        <w:t>)</w:t>
      </w:r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Оптимальная концентрация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подбирается эмпирически, но не должна быть больше 50 </w:t>
      </w:r>
      <w:proofErr w:type="spellStart"/>
      <w:r>
        <w:rPr>
          <w:sz w:val="28"/>
          <w:szCs w:val="28"/>
        </w:rPr>
        <w:t>пикомолей</w:t>
      </w:r>
      <w:proofErr w:type="spellEnd"/>
      <w:r>
        <w:rPr>
          <w:sz w:val="28"/>
          <w:szCs w:val="28"/>
        </w:rPr>
        <w:t xml:space="preserve"> на пробирку - иначе начнётся неспецифический отжиг </w:t>
      </w:r>
      <w:proofErr w:type="spellStart"/>
      <w:r>
        <w:rPr>
          <w:sz w:val="28"/>
          <w:szCs w:val="28"/>
        </w:rPr>
        <w:t>праймеров</w:t>
      </w:r>
      <w:proofErr w:type="spellEnd"/>
    </w:p>
    <w:p w:rsidR="00CF2490" w:rsidRDefault="00CF2490" w:rsidP="00CF249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Упрощенный расчет оптимальной температуры отжига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>:</w:t>
      </w:r>
    </w:p>
    <w:p w:rsidR="00CF2490" w:rsidRDefault="00CF2490" w:rsidP="00CF2490">
      <w:pPr>
        <w:pStyle w:val="a5"/>
        <w:ind w:left="14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= [(A+T) x 2 °C] + [(G+C) x 4 °C](если суммарная длина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не превышает 20 оснований)</w:t>
      </w:r>
    </w:p>
    <w:p w:rsidR="00CF2490" w:rsidRDefault="00CF2490" w:rsidP="00CF2490">
      <w:pPr>
        <w:pStyle w:val="a5"/>
        <w:ind w:left="14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= 22 + 1.46([2 x (G+C)] + (A+T))(если суммарная длина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составляет 20-30 оснований)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>ФЛУОРЕСЦЕНТНЫЕ КРАСИТЕЛИ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</w:rPr>
        <w:br/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Карбоксифлуоресцеин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(FAM)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2857500" cy="1666875"/>
            <wp:effectExtent l="0" t="0" r="0" b="9525"/>
            <wp:docPr id="17" name="Рисунок 17" descr="f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38575" cy="990600"/>
            <wp:effectExtent l="0" t="0" r="9525" b="0"/>
            <wp:docPr id="16" name="Рисунок 16" descr="f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k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Производные </w:t>
      </w:r>
      <w:proofErr w:type="spellStart"/>
      <w:r>
        <w:rPr>
          <w:rFonts w:ascii="Times New Roman" w:hAnsi="Times New Roman"/>
          <w:sz w:val="28"/>
          <w:szCs w:val="28"/>
        </w:rPr>
        <w:t>флуоресцеина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являются наиболее распространенными флуоресцентными метками, вводимыми в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Карбоксифлуоресцеин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достаточно большой молярный коэффициент поглощения и высокий квантовый выход. Кроме того, максимум возбуждения для производных </w:t>
      </w:r>
      <w:proofErr w:type="spellStart"/>
      <w:r>
        <w:rPr>
          <w:rFonts w:ascii="Times New Roman" w:hAnsi="Times New Roman"/>
          <w:sz w:val="28"/>
          <w:szCs w:val="28"/>
        </w:rPr>
        <w:t>флуоресцеина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находится в диапазоне спектральных линий аргонового (488 </w:t>
      </w:r>
      <w:proofErr w:type="spellStart"/>
      <w:r>
        <w:rPr>
          <w:rFonts w:ascii="Times New Roman" w:hAnsi="Times New Roman"/>
          <w:sz w:val="28"/>
          <w:szCs w:val="28"/>
        </w:rPr>
        <w:t>нм</w:t>
      </w:r>
      <w:proofErr w:type="spellEnd"/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Nd:YAG</w:t>
      </w:r>
      <w:proofErr w:type="spellEnd"/>
      <w:r>
        <w:rPr>
          <w:rFonts w:ascii="Times New Roman" w:hAnsi="Times New Roman"/>
          <w:sz w:val="28"/>
          <w:szCs w:val="28"/>
        </w:rPr>
        <w:t xml:space="preserve"> (477 </w:t>
      </w:r>
      <w:proofErr w:type="spellStart"/>
      <w:r>
        <w:rPr>
          <w:rFonts w:ascii="Times New Roman" w:hAnsi="Times New Roman"/>
          <w:sz w:val="28"/>
          <w:szCs w:val="28"/>
        </w:rPr>
        <w:t>нм</w:t>
      </w:r>
      <w:proofErr w:type="spellEnd"/>
      <w:r>
        <w:rPr>
          <w:rFonts w:ascii="Times New Roman" w:hAnsi="Times New Roman"/>
          <w:sz w:val="28"/>
          <w:szCs w:val="28"/>
        </w:rPr>
        <w:t>) лазеров, что делает этот краситель незаменимым в таких областях, как: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2490" w:rsidRDefault="00CF2490" w:rsidP="00CF249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ДНК анализ с лазер-индуцируемой флуоресцентной </w:t>
      </w:r>
      <w:proofErr w:type="spellStart"/>
      <w:r>
        <w:rPr>
          <w:rFonts w:ascii="Times New Roman" w:hAnsi="Times New Roman"/>
          <w:sz w:val="28"/>
          <w:szCs w:val="28"/>
        </w:rPr>
        <w:t>детекцией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2490" w:rsidRDefault="00CF2490" w:rsidP="00CF249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микроскопия с конфокальным лазерным сканированием;</w:t>
      </w:r>
    </w:p>
    <w:p w:rsidR="00CF2490" w:rsidRDefault="00CF2490" w:rsidP="00CF249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проточная </w:t>
      </w:r>
      <w:proofErr w:type="spellStart"/>
      <w:r>
        <w:rPr>
          <w:rFonts w:ascii="Times New Roman" w:hAnsi="Times New Roman"/>
          <w:sz w:val="28"/>
          <w:szCs w:val="28"/>
        </w:rPr>
        <w:t>цитофлуориметрия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 не менее, при работе с производными </w:t>
      </w:r>
      <w:proofErr w:type="spellStart"/>
      <w:r>
        <w:rPr>
          <w:rFonts w:ascii="Times New Roman" w:hAnsi="Times New Roman"/>
          <w:sz w:val="28"/>
          <w:szCs w:val="28"/>
        </w:rPr>
        <w:t>флуоресцеина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их </w:t>
      </w:r>
      <w:proofErr w:type="spellStart"/>
      <w:r>
        <w:rPr>
          <w:rFonts w:ascii="Times New Roman" w:hAnsi="Times New Roman"/>
          <w:sz w:val="28"/>
          <w:szCs w:val="28"/>
        </w:rPr>
        <w:t>конъюгатами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следует учитывать их следующие особенности: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2490" w:rsidRDefault="00CF2490" w:rsidP="00CF249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относительно высокая скорость выцветания;</w:t>
      </w:r>
    </w:p>
    <w:p w:rsidR="00CF2490" w:rsidRDefault="00CF2490" w:rsidP="00CF249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рН-чувствительная флуоресценция (</w:t>
      </w:r>
      <w:proofErr w:type="spellStart"/>
      <w:r>
        <w:rPr>
          <w:rFonts w:ascii="Times New Roman" w:hAnsi="Times New Roman"/>
          <w:sz w:val="28"/>
          <w:szCs w:val="28"/>
        </w:rPr>
        <w:t>рКа</w:t>
      </w:r>
      <w:proofErr w:type="spellEnd"/>
      <w:r>
        <w:rPr>
          <w:rFonts w:ascii="Times New Roman" w:hAnsi="Times New Roman"/>
          <w:sz w:val="28"/>
          <w:szCs w:val="28"/>
        </w:rPr>
        <w:t xml:space="preserve"> ~ 6.4), которая существенно уменьшается при рН ниже 7.0;</w:t>
      </w:r>
    </w:p>
    <w:p w:rsidR="00CF2490" w:rsidRDefault="00CF2490" w:rsidP="00CF249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относительно широкий спектр флуоресценции, ограничивающий использование производных </w:t>
      </w:r>
      <w:proofErr w:type="spellStart"/>
      <w:r>
        <w:rPr>
          <w:rFonts w:ascii="Times New Roman" w:hAnsi="Times New Roman"/>
          <w:sz w:val="28"/>
          <w:szCs w:val="28"/>
        </w:rPr>
        <w:t>флуоресцеина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некоторых приложениях, предусматривающих использование нескольких флуоресцентных красителей одновременно;</w:t>
      </w:r>
    </w:p>
    <w:p w:rsidR="00CF2490" w:rsidRDefault="00CF2490" w:rsidP="00CF249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    возможное уменьшение интенсивности флуоресценции в составе </w:t>
      </w:r>
      <w:proofErr w:type="spellStart"/>
      <w:r>
        <w:rPr>
          <w:rFonts w:ascii="Times New Roman" w:hAnsi="Times New Roman"/>
          <w:sz w:val="28"/>
          <w:szCs w:val="28"/>
        </w:rPr>
        <w:t>конъюгатов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с биополимерами, особенно при множественном замещении.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Родамины</w:t>
      </w:r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6-Карбоксиродамин (R6G)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3238500" cy="2190750"/>
            <wp:effectExtent l="0" t="0" r="0" b="0"/>
            <wp:docPr id="15" name="Рисунок 15" descr="r6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6g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38575" cy="990600"/>
            <wp:effectExtent l="0" t="0" r="9525" b="0"/>
            <wp:docPr id="14" name="Рисунок 14" descr="f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k2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Красители </w:t>
      </w:r>
      <w:proofErr w:type="spellStart"/>
      <w:r>
        <w:rPr>
          <w:rFonts w:ascii="Times New Roman" w:hAnsi="Times New Roman"/>
          <w:sz w:val="28"/>
          <w:szCs w:val="28"/>
        </w:rPr>
        <w:t>родаминового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 снискали широкое применение в качестве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меток. В отличие от производных </w:t>
      </w:r>
      <w:proofErr w:type="spellStart"/>
      <w:r>
        <w:rPr>
          <w:rFonts w:ascii="Times New Roman" w:hAnsi="Times New Roman"/>
          <w:sz w:val="28"/>
          <w:szCs w:val="28"/>
        </w:rPr>
        <w:t>флуоресцеинов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их спектральные характеристики не меняются в диапазоне рН от 4 до 10. </w:t>
      </w:r>
      <w:proofErr w:type="spellStart"/>
      <w:r>
        <w:rPr>
          <w:rFonts w:ascii="Times New Roman" w:hAnsi="Times New Roman"/>
          <w:sz w:val="28"/>
          <w:szCs w:val="28"/>
        </w:rPr>
        <w:t>Карбокисродамин</w:t>
      </w:r>
      <w:proofErr w:type="spellEnd"/>
      <w:r>
        <w:rPr>
          <w:rFonts w:ascii="Times New Roman" w:hAnsi="Times New Roman"/>
          <w:sz w:val="28"/>
          <w:szCs w:val="28"/>
        </w:rPr>
        <w:t xml:space="preserve"> R6G </w:t>
      </w:r>
      <w:proofErr w:type="gramStart"/>
      <w:r>
        <w:rPr>
          <w:rFonts w:ascii="Times New Roman" w:hAnsi="Times New Roman"/>
          <w:sz w:val="28"/>
          <w:szCs w:val="28"/>
        </w:rPr>
        <w:t>близок</w:t>
      </w:r>
      <w:proofErr w:type="gramEnd"/>
      <w:r>
        <w:rPr>
          <w:rFonts w:ascii="Times New Roman" w:hAnsi="Times New Roman"/>
          <w:sz w:val="28"/>
          <w:szCs w:val="28"/>
        </w:rPr>
        <w:t xml:space="preserve"> по спектральным характеристикам к 6-JOE. </w:t>
      </w:r>
      <w:proofErr w:type="spellStart"/>
      <w:r>
        <w:rPr>
          <w:rFonts w:ascii="Times New Roman" w:hAnsi="Times New Roman"/>
          <w:sz w:val="28"/>
          <w:szCs w:val="28"/>
        </w:rPr>
        <w:t>Карбоксиродамины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используются в различных молекулярно-биологических приложениях, таких как: </w:t>
      </w:r>
    </w:p>
    <w:p w:rsidR="00CF2490" w:rsidRDefault="00CF2490" w:rsidP="00CF249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gramStart"/>
      <w:r>
        <w:rPr>
          <w:rFonts w:ascii="Times New Roman" w:hAnsi="Times New Roman"/>
          <w:sz w:val="28"/>
          <w:szCs w:val="28"/>
        </w:rPr>
        <w:t>автоматическое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секвенирование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ДНК;</w:t>
      </w:r>
    </w:p>
    <w:p w:rsidR="00CF2490" w:rsidRDefault="00CF2490" w:rsidP="00CF249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gramStart"/>
      <w:r>
        <w:rPr>
          <w:rFonts w:ascii="Times New Roman" w:hAnsi="Times New Roman"/>
          <w:sz w:val="28"/>
          <w:szCs w:val="28"/>
        </w:rPr>
        <w:t>количественная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ПЦР в реальном времени;</w:t>
      </w:r>
    </w:p>
    <w:p w:rsidR="00CF2490" w:rsidRDefault="00CF2490" w:rsidP="00CF249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флуоресцентная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situ</w:t>
      </w:r>
      <w:proofErr w:type="spellEnd"/>
      <w:r>
        <w:rPr>
          <w:rFonts w:ascii="Times New Roman" w:hAnsi="Times New Roman"/>
          <w:sz w:val="28"/>
          <w:szCs w:val="28"/>
        </w:rPr>
        <w:t xml:space="preserve"> гибридизация;</w:t>
      </w:r>
    </w:p>
    <w:p w:rsidR="00CF2490" w:rsidRDefault="00CF2490" w:rsidP="00CF249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spellStart"/>
      <w:r>
        <w:rPr>
          <w:rFonts w:ascii="Times New Roman" w:hAnsi="Times New Roman"/>
          <w:sz w:val="28"/>
          <w:szCs w:val="28"/>
        </w:rPr>
        <w:t>детекция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ДНК-чипах.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Карбокси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-Х-родамин (ROX)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143250" cy="1905000"/>
            <wp:effectExtent l="0" t="0" r="0" b="0"/>
            <wp:docPr id="13" name="Рисунок 13" descr="r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x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29050" cy="990600"/>
            <wp:effectExtent l="0" t="0" r="0" b="0"/>
            <wp:docPr id="12" name="Рисунок 12" descr="f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k3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Красители </w:t>
      </w:r>
      <w:proofErr w:type="spellStart"/>
      <w:r>
        <w:rPr>
          <w:rFonts w:ascii="Times New Roman" w:hAnsi="Times New Roman"/>
          <w:sz w:val="28"/>
          <w:szCs w:val="28"/>
        </w:rPr>
        <w:t>родаминового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 снискали широкое применение в качестве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меток. В отличие от производных </w:t>
      </w:r>
      <w:proofErr w:type="spellStart"/>
      <w:r>
        <w:rPr>
          <w:rFonts w:ascii="Times New Roman" w:hAnsi="Times New Roman"/>
          <w:sz w:val="28"/>
          <w:szCs w:val="28"/>
        </w:rPr>
        <w:t>флуоресцеинов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их спектральные характеристики не меняются в диапазоне рН от 4 до 10. </w:t>
      </w:r>
      <w:proofErr w:type="spellStart"/>
      <w:r>
        <w:rPr>
          <w:rFonts w:ascii="Times New Roman" w:hAnsi="Times New Roman"/>
          <w:sz w:val="28"/>
          <w:szCs w:val="28"/>
        </w:rPr>
        <w:t>Карбокси</w:t>
      </w:r>
      <w:proofErr w:type="spellEnd"/>
      <w:r>
        <w:rPr>
          <w:rFonts w:ascii="Times New Roman" w:hAnsi="Times New Roman"/>
          <w:sz w:val="28"/>
          <w:szCs w:val="28"/>
        </w:rPr>
        <w:t xml:space="preserve">-Х-родамин в настоящее время является одним из наиболее используемых </w:t>
      </w:r>
      <w:proofErr w:type="spellStart"/>
      <w:r>
        <w:rPr>
          <w:rFonts w:ascii="Times New Roman" w:hAnsi="Times New Roman"/>
          <w:sz w:val="28"/>
          <w:szCs w:val="28"/>
        </w:rPr>
        <w:t>флуоесцентных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красителей </w:t>
      </w:r>
      <w:proofErr w:type="spellStart"/>
      <w:r>
        <w:rPr>
          <w:rFonts w:ascii="Times New Roman" w:hAnsi="Times New Roman"/>
          <w:sz w:val="28"/>
          <w:szCs w:val="28"/>
        </w:rPr>
        <w:t>родаминового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ряда. </w:t>
      </w:r>
      <w:proofErr w:type="spellStart"/>
      <w:r>
        <w:rPr>
          <w:rFonts w:ascii="Times New Roman" w:hAnsi="Times New Roman"/>
          <w:sz w:val="28"/>
          <w:szCs w:val="28"/>
        </w:rPr>
        <w:t>Карбокси</w:t>
      </w:r>
      <w:proofErr w:type="spellEnd"/>
      <w:r>
        <w:rPr>
          <w:rFonts w:ascii="Times New Roman" w:hAnsi="Times New Roman"/>
          <w:sz w:val="28"/>
          <w:szCs w:val="28"/>
        </w:rPr>
        <w:t>-Х-родамин используется в различных молекулярно-биологических приложениях, таких как: </w:t>
      </w:r>
    </w:p>
    <w:p w:rsidR="00CF2490" w:rsidRDefault="00CF2490" w:rsidP="00CF249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gramStart"/>
      <w:r>
        <w:rPr>
          <w:rFonts w:ascii="Times New Roman" w:hAnsi="Times New Roman"/>
          <w:sz w:val="28"/>
          <w:szCs w:val="28"/>
        </w:rPr>
        <w:t>автоматическое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секвенирование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ДНК;</w:t>
      </w:r>
    </w:p>
    <w:p w:rsidR="00CF2490" w:rsidRDefault="00CF2490" w:rsidP="00CF249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gramStart"/>
      <w:r>
        <w:rPr>
          <w:rFonts w:ascii="Times New Roman" w:hAnsi="Times New Roman"/>
          <w:sz w:val="28"/>
          <w:szCs w:val="28"/>
        </w:rPr>
        <w:t>количественная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ПЦР в реальном времени;</w:t>
      </w:r>
    </w:p>
    <w:p w:rsidR="00CF2490" w:rsidRDefault="00CF2490" w:rsidP="00CF249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флуоресцентная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situ</w:t>
      </w:r>
      <w:proofErr w:type="spellEnd"/>
      <w:r>
        <w:rPr>
          <w:rFonts w:ascii="Times New Roman" w:hAnsi="Times New Roman"/>
          <w:sz w:val="28"/>
          <w:szCs w:val="28"/>
        </w:rPr>
        <w:t xml:space="preserve"> гибридизация;</w:t>
      </w:r>
    </w:p>
    <w:p w:rsidR="00CF2490" w:rsidRDefault="00CF2490" w:rsidP="00CF249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spellStart"/>
      <w:r>
        <w:rPr>
          <w:rFonts w:ascii="Times New Roman" w:hAnsi="Times New Roman"/>
          <w:sz w:val="28"/>
          <w:szCs w:val="28"/>
        </w:rPr>
        <w:t>детекция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ДНК чипах.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Тетраметилкарбоксиродамин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(TAMRA)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43250" cy="2000250"/>
            <wp:effectExtent l="0" t="0" r="0" b="0"/>
            <wp:docPr id="11" name="Рисунок 11" descr="tam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mra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838575" cy="990600"/>
            <wp:effectExtent l="0" t="0" r="9525" b="0"/>
            <wp:docPr id="10" name="Рисунок 10" descr="f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k4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Красители </w:t>
      </w:r>
      <w:proofErr w:type="spellStart"/>
      <w:r>
        <w:rPr>
          <w:rFonts w:ascii="Times New Roman" w:hAnsi="Times New Roman"/>
          <w:sz w:val="28"/>
          <w:szCs w:val="28"/>
        </w:rPr>
        <w:t>родаминового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 снискали широкое применение в качестве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меток. В отличие от производных </w:t>
      </w:r>
      <w:proofErr w:type="spellStart"/>
      <w:r>
        <w:rPr>
          <w:rFonts w:ascii="Times New Roman" w:hAnsi="Times New Roman"/>
          <w:sz w:val="28"/>
          <w:szCs w:val="28"/>
        </w:rPr>
        <w:t>флуоресцеинов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их спектральные характеристики не меняются в диапазоне рН от 4 до 10. </w:t>
      </w:r>
      <w:proofErr w:type="spellStart"/>
      <w:r>
        <w:rPr>
          <w:rFonts w:ascii="Times New Roman" w:hAnsi="Times New Roman"/>
          <w:sz w:val="28"/>
          <w:szCs w:val="28"/>
        </w:rPr>
        <w:t>Тетраметилкарбоксиродамин</w:t>
      </w:r>
      <w:proofErr w:type="spellEnd"/>
      <w:r>
        <w:rPr>
          <w:rFonts w:ascii="Times New Roman" w:hAnsi="Times New Roman"/>
          <w:sz w:val="28"/>
          <w:szCs w:val="28"/>
        </w:rPr>
        <w:t xml:space="preserve"> в настоящее время является наиболее используемым флуоресцентным красителем </w:t>
      </w:r>
      <w:proofErr w:type="spellStart"/>
      <w:r>
        <w:rPr>
          <w:rFonts w:ascii="Times New Roman" w:hAnsi="Times New Roman"/>
          <w:sz w:val="28"/>
          <w:szCs w:val="28"/>
        </w:rPr>
        <w:t>родаминового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ряда. Прежде всего, необходимо отметить, что TAMRA используется в качестве акцептора флуоресценции в зондах, применяемых для проведения количественного ПЦР в реальном времени. Среди других молекулярно-биологических приложений, в которых используются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меченные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этим красителем следует отметить: </w:t>
      </w:r>
    </w:p>
    <w:p w:rsidR="00CF2490" w:rsidRDefault="00CF2490" w:rsidP="00CF249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spellStart"/>
      <w:r>
        <w:rPr>
          <w:rFonts w:ascii="Times New Roman" w:hAnsi="Times New Roman"/>
          <w:sz w:val="28"/>
          <w:szCs w:val="28"/>
        </w:rPr>
        <w:t>секвенирование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ДНК;</w:t>
      </w:r>
    </w:p>
    <w:p w:rsidR="00CF2490" w:rsidRDefault="00CF2490" w:rsidP="00CF249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флуоресцентная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situ</w:t>
      </w:r>
      <w:proofErr w:type="spellEnd"/>
      <w:r>
        <w:rPr>
          <w:rFonts w:ascii="Times New Roman" w:hAnsi="Times New Roman"/>
          <w:sz w:val="28"/>
          <w:szCs w:val="28"/>
        </w:rPr>
        <w:t xml:space="preserve"> гибридизация;</w:t>
      </w:r>
    </w:p>
    <w:p w:rsidR="00CF2490" w:rsidRDefault="00CF2490" w:rsidP="00CF249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spellStart"/>
      <w:r>
        <w:rPr>
          <w:rFonts w:ascii="Times New Roman" w:hAnsi="Times New Roman"/>
          <w:sz w:val="28"/>
          <w:szCs w:val="28"/>
        </w:rPr>
        <w:t>детекция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ДНК чипах.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6-Карбокси-4',5'-дихлор-2',7'-диметоксифлуоресцеин (6-JOE)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52750" cy="1762125"/>
            <wp:effectExtent l="0" t="0" r="0" b="9525"/>
            <wp:docPr id="9" name="Рисунок 9" descr="6jo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joe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38575" cy="981075"/>
            <wp:effectExtent l="0" t="0" r="9525" b="9525"/>
            <wp:docPr id="8" name="Рисунок 8" descr="f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k5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6-Карбокси-4',5'-дихлор-2',7'-диметоксифлуоресцеин (6-JOE) - один из </w:t>
      </w:r>
      <w:proofErr w:type="spellStart"/>
      <w:r>
        <w:rPr>
          <w:rFonts w:ascii="Times New Roman" w:hAnsi="Times New Roman"/>
          <w:sz w:val="28"/>
          <w:szCs w:val="28"/>
        </w:rPr>
        <w:t>флуорофоров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(таких как 5-FAM, 6-TAMRA и 6-ROX), традиционно используемых при </w:t>
      </w:r>
      <w:proofErr w:type="gramStart"/>
      <w:r>
        <w:rPr>
          <w:rFonts w:ascii="Times New Roman" w:hAnsi="Times New Roman"/>
          <w:sz w:val="28"/>
          <w:szCs w:val="28"/>
        </w:rPr>
        <w:t>автоматическом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секвенировании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ДНК. Химическая модификация </w:t>
      </w:r>
      <w:proofErr w:type="spellStart"/>
      <w:r>
        <w:rPr>
          <w:rFonts w:ascii="Times New Roman" w:hAnsi="Times New Roman"/>
          <w:sz w:val="28"/>
          <w:szCs w:val="28"/>
        </w:rPr>
        <w:t>ксантенового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кольца смещает максимумы поглощения и флуоресценции этого производного </w:t>
      </w:r>
      <w:proofErr w:type="spellStart"/>
      <w:r>
        <w:rPr>
          <w:rFonts w:ascii="Times New Roman" w:hAnsi="Times New Roman"/>
          <w:sz w:val="28"/>
          <w:szCs w:val="28"/>
        </w:rPr>
        <w:t>флуоресцеина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длинноволновую </w:t>
      </w:r>
      <w:r>
        <w:rPr>
          <w:rFonts w:ascii="Times New Roman" w:hAnsi="Times New Roman"/>
          <w:sz w:val="28"/>
          <w:szCs w:val="28"/>
        </w:rPr>
        <w:lastRenderedPageBreak/>
        <w:t>область. Промежуточный по сравнению с другими красителями спектр поглощения/флуоресценции 6-JOE, высокий квантовый выход и низкая чувствительность к изменению рН (</w:t>
      </w:r>
      <w:proofErr w:type="spellStart"/>
      <w:r>
        <w:rPr>
          <w:rFonts w:ascii="Times New Roman" w:hAnsi="Times New Roman"/>
          <w:sz w:val="28"/>
          <w:szCs w:val="28"/>
        </w:rPr>
        <w:t>рКа</w:t>
      </w:r>
      <w:proofErr w:type="spellEnd"/>
      <w:r>
        <w:rPr>
          <w:rFonts w:ascii="Times New Roman" w:hAnsi="Times New Roman"/>
          <w:sz w:val="28"/>
          <w:szCs w:val="28"/>
        </w:rPr>
        <w:t xml:space="preserve"> ~4.3) в диапазоне близком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физиологическому, позволяют использовать этот краситель для целого ряда молекулярно-биологических приложений.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Карбоксиродамин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(R110)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2857500" cy="1714500"/>
            <wp:effectExtent l="0" t="0" r="0" b="0"/>
            <wp:docPr id="7" name="Рисунок 7" descr="r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110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3838575" cy="1000125"/>
            <wp:effectExtent l="0" t="0" r="9525" b="9525"/>
            <wp:docPr id="6" name="Рисунок 6" descr="f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k6.jpg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Красители </w:t>
      </w:r>
      <w:proofErr w:type="spellStart"/>
      <w:r>
        <w:rPr>
          <w:rFonts w:ascii="Times New Roman" w:hAnsi="Times New Roman"/>
          <w:sz w:val="28"/>
          <w:szCs w:val="28"/>
        </w:rPr>
        <w:t>родаминового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 снискали широкое применение в качестве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меток. В отличие от производных </w:t>
      </w:r>
      <w:proofErr w:type="spellStart"/>
      <w:r>
        <w:rPr>
          <w:rFonts w:ascii="Times New Roman" w:hAnsi="Times New Roman"/>
          <w:sz w:val="28"/>
          <w:szCs w:val="28"/>
        </w:rPr>
        <w:t>флуоресцеинов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их спектральные характеристики не меняются в диапазоне рН от 4 до 10. </w:t>
      </w:r>
      <w:proofErr w:type="spellStart"/>
      <w:r>
        <w:rPr>
          <w:rFonts w:ascii="Times New Roman" w:hAnsi="Times New Roman"/>
          <w:sz w:val="28"/>
          <w:szCs w:val="28"/>
        </w:rPr>
        <w:t>Карбоксиродамины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используются в различных молекулярно-биологических приложениях, таких как: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2490" w:rsidRDefault="00CF2490" w:rsidP="00CF249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gramStart"/>
      <w:r>
        <w:rPr>
          <w:rFonts w:ascii="Times New Roman" w:hAnsi="Times New Roman"/>
          <w:sz w:val="28"/>
          <w:szCs w:val="28"/>
        </w:rPr>
        <w:t>автоматическое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секвенирование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ДНК;</w:t>
      </w:r>
    </w:p>
    <w:p w:rsidR="00CF2490" w:rsidRDefault="00CF2490" w:rsidP="00CF249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proofErr w:type="gramStart"/>
      <w:r>
        <w:rPr>
          <w:rFonts w:ascii="Times New Roman" w:hAnsi="Times New Roman"/>
          <w:sz w:val="28"/>
          <w:szCs w:val="28"/>
        </w:rPr>
        <w:t>количественная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ПЦР в реальном времени.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Прочие красители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Dansyl</w:t>
      </w:r>
      <w:proofErr w:type="spellEnd"/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38500" cy="1143000"/>
            <wp:effectExtent l="0" t="0" r="0" b="0"/>
            <wp:docPr id="5" name="Рисунок 5" descr="dansy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ansyl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19525" cy="800100"/>
            <wp:effectExtent l="0" t="0" r="9525" b="0"/>
            <wp:docPr id="4" name="Рисунок 4" descr="f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k7.jpg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Acridine</w:t>
      </w:r>
      <w:proofErr w:type="spellEnd"/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05350" cy="2409825"/>
            <wp:effectExtent l="0" t="0" r="0" b="9525"/>
            <wp:docPr id="3" name="Рисунок 3" descr="f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k8.jpg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Для </w:t>
      </w:r>
      <w:proofErr w:type="spellStart"/>
      <w:r>
        <w:rPr>
          <w:rFonts w:ascii="Times New Roman" w:hAnsi="Times New Roman"/>
          <w:sz w:val="28"/>
          <w:szCs w:val="28"/>
        </w:rPr>
        <w:t>Acridine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флуоресция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значительно разгорается при </w:t>
      </w:r>
      <w:proofErr w:type="spellStart"/>
      <w:r>
        <w:rPr>
          <w:rFonts w:ascii="Times New Roman" w:hAnsi="Times New Roman"/>
          <w:sz w:val="28"/>
          <w:szCs w:val="28"/>
        </w:rPr>
        <w:t>интеркаляции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двойную спираль ДНК.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Pyrene</w:t>
      </w:r>
      <w:proofErr w:type="spellEnd"/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33750" cy="1428750"/>
            <wp:effectExtent l="0" t="0" r="0" b="0"/>
            <wp:docPr id="2" name="Рисунок 2" descr="pyre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yrene.gif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38575" cy="819150"/>
            <wp:effectExtent l="0" t="0" r="9525" b="0"/>
            <wp:docPr id="1" name="Рисунок 1" descr="f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k9.jpg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Области применения:</w:t>
      </w:r>
      <w:r>
        <w:rPr>
          <w:rFonts w:ascii="Times New Roman" w:hAnsi="Times New Roman"/>
          <w:sz w:val="28"/>
          <w:szCs w:val="28"/>
        </w:rPr>
        <w:t> </w:t>
      </w:r>
    </w:p>
    <w:p w:rsidR="00CF2490" w:rsidRDefault="00CF2490" w:rsidP="00CF24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Будучи сближены в пространстве, производные </w:t>
      </w:r>
      <w:proofErr w:type="spellStart"/>
      <w:r>
        <w:rPr>
          <w:rFonts w:ascii="Times New Roman" w:hAnsi="Times New Roman"/>
          <w:sz w:val="28"/>
          <w:szCs w:val="28"/>
        </w:rPr>
        <w:t>пиренов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формируют </w:t>
      </w:r>
      <w:proofErr w:type="spellStart"/>
      <w:r>
        <w:rPr>
          <w:rFonts w:ascii="Times New Roman" w:hAnsi="Times New Roman"/>
          <w:sz w:val="28"/>
          <w:szCs w:val="28"/>
        </w:rPr>
        <w:t>эксимер</w:t>
      </w:r>
      <w:proofErr w:type="spellEnd"/>
      <w:r>
        <w:rPr>
          <w:rFonts w:ascii="Times New Roman" w:hAnsi="Times New Roman"/>
          <w:sz w:val="28"/>
          <w:szCs w:val="28"/>
        </w:rPr>
        <w:t xml:space="preserve">. При этом пик флуоресценции </w:t>
      </w:r>
      <w:proofErr w:type="spellStart"/>
      <w:r>
        <w:rPr>
          <w:rFonts w:ascii="Times New Roman" w:hAnsi="Times New Roman"/>
          <w:sz w:val="28"/>
          <w:szCs w:val="28"/>
        </w:rPr>
        <w:t>эксимера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отличен от пика флуоресценции одиночного красителя (470нм - </w:t>
      </w:r>
      <w:proofErr w:type="spellStart"/>
      <w:r>
        <w:rPr>
          <w:rFonts w:ascii="Times New Roman" w:hAnsi="Times New Roman"/>
          <w:sz w:val="28"/>
          <w:szCs w:val="28"/>
        </w:rPr>
        <w:t>эксимер</w:t>
      </w:r>
      <w:proofErr w:type="spellEnd"/>
      <w:r>
        <w:rPr>
          <w:rFonts w:ascii="Times New Roman" w:hAnsi="Times New Roman"/>
          <w:sz w:val="28"/>
          <w:szCs w:val="28"/>
        </w:rPr>
        <w:t xml:space="preserve">, 376нм - </w:t>
      </w:r>
      <w:proofErr w:type="spellStart"/>
      <w:r>
        <w:rPr>
          <w:rFonts w:ascii="Times New Roman" w:hAnsi="Times New Roman"/>
          <w:sz w:val="28"/>
          <w:szCs w:val="28"/>
        </w:rPr>
        <w:t>пирен</w:t>
      </w:r>
      <w:proofErr w:type="spellEnd"/>
      <w:r>
        <w:rPr>
          <w:rFonts w:ascii="Times New Roman" w:hAnsi="Times New Roman"/>
          <w:sz w:val="28"/>
          <w:szCs w:val="28"/>
        </w:rPr>
        <w:t xml:space="preserve">). Это свойство </w:t>
      </w:r>
      <w:proofErr w:type="spellStart"/>
      <w:r>
        <w:rPr>
          <w:rFonts w:ascii="Times New Roman" w:hAnsi="Times New Roman"/>
          <w:sz w:val="28"/>
          <w:szCs w:val="28"/>
        </w:rPr>
        <w:t>пиренов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активно используют для проведения структурных исследований нуклеиновых кислот. 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CE0"/>
    <w:multiLevelType w:val="multilevel"/>
    <w:tmpl w:val="FC72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5992"/>
    <w:multiLevelType w:val="multilevel"/>
    <w:tmpl w:val="0C10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10465"/>
    <w:multiLevelType w:val="multilevel"/>
    <w:tmpl w:val="99A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20683"/>
    <w:multiLevelType w:val="multilevel"/>
    <w:tmpl w:val="11BC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736AE"/>
    <w:multiLevelType w:val="hybridMultilevel"/>
    <w:tmpl w:val="002AC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065699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>
    <w:nsid w:val="77943635"/>
    <w:multiLevelType w:val="multilevel"/>
    <w:tmpl w:val="8E4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42FB4"/>
    <w:multiLevelType w:val="multilevel"/>
    <w:tmpl w:val="8F9A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90"/>
    <w:rsid w:val="00CF2490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9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4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F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CF2490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CF2490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F2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9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4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F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CF2490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CF2490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F2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syntol.ru/upload/medialibrary/83e/83e5061e29b22faa69a8b8be2c608f89.jpg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9" Type="http://schemas.openxmlformats.org/officeDocument/2006/relationships/image" Target="http://syntol.ru/upload/medialibrary/bdb/bdba5f0b665ac430a23936170334bc26.jpg" TargetMode="External"/><Relationship Id="rId3" Type="http://schemas.microsoft.com/office/2007/relationships/stylesWithEffects" Target="stylesWithEffects.xml"/><Relationship Id="rId21" Type="http://schemas.openxmlformats.org/officeDocument/2006/relationships/image" Target="http://syntol.ru/upload/medialibrary/e75/e75a8808779d0c5ac8b2b58964ea55fb.jpg" TargetMode="External"/><Relationship Id="rId34" Type="http://schemas.openxmlformats.org/officeDocument/2006/relationships/image" Target="media/image15.jpeg"/><Relationship Id="rId7" Type="http://schemas.openxmlformats.org/officeDocument/2006/relationships/image" Target="http://syntol.ru/upload/medialibrary/a08/a088b6f33d8319bdd19473747a6c4f97.gif" TargetMode="External"/><Relationship Id="rId12" Type="http://schemas.openxmlformats.org/officeDocument/2006/relationships/image" Target="media/image4.jpeg"/><Relationship Id="rId17" Type="http://schemas.openxmlformats.org/officeDocument/2006/relationships/image" Target="http://syntol.ru/upload/medialibrary/1fe/1fe5b23f2c3f6bdf08054e9b54c17ee3.jpg" TargetMode="External"/><Relationship Id="rId25" Type="http://schemas.openxmlformats.org/officeDocument/2006/relationships/image" Target="http://syntol.ru/upload/medialibrary/61d/61d2a4a94605cfba8bdd4e6f225b334d.jpg" TargetMode="External"/><Relationship Id="rId33" Type="http://schemas.openxmlformats.org/officeDocument/2006/relationships/image" Target="http://syntol.ru/upload/medialibrary/42c/42c322437531226861cba0f1f8459d45.jp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http://syntol.ru/upload/medialibrary/cd8/cd8ac6ebaa69a6fed267714af725cbba.jp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http://syntol.ru/upload/medialibrary/770/7703e442c4ea7a14069c4999f559d36a.gif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http://syntol.ru/upload/medialibrary/7d9/7d9c47b839be8fef5c31c326b36a286d.gi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http://syntol.ru/upload/medialibrary/a3a/a3a464278aef1d82069150a603198675.gif" TargetMode="External"/><Relationship Id="rId23" Type="http://schemas.openxmlformats.org/officeDocument/2006/relationships/image" Target="http://syntol.ru/upload/medialibrary/7f1/7f12ce08e6beb863ed9765f4c0cdd411.gif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image" Target="http://syntol.ru/upload/medialibrary/771/771b74a52856e83653100bcbf3b511d9.gif" TargetMode="External"/><Relationship Id="rId31" Type="http://schemas.openxmlformats.org/officeDocument/2006/relationships/image" Target="http://syntol.ru/upload/medialibrary/4c6/4c6f27355b4825a758e2301487c40750.gif" TargetMode="External"/><Relationship Id="rId4" Type="http://schemas.openxmlformats.org/officeDocument/2006/relationships/settings" Target="settings.xml"/><Relationship Id="rId9" Type="http://schemas.openxmlformats.org/officeDocument/2006/relationships/image" Target="http://syntol.ru/upload/medialibrary/4d6/4d6592b085cf6904a3f116b6660ff7d3.jpg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http://syntol.ru/upload/medialibrary/f01/f016da93df80377a7c22678aa63b9701.gif" TargetMode="External"/><Relationship Id="rId30" Type="http://schemas.openxmlformats.org/officeDocument/2006/relationships/image" Target="media/image13.gif"/><Relationship Id="rId35" Type="http://schemas.openxmlformats.org/officeDocument/2006/relationships/image" Target="http://syntol.ru/upload/medialibrary/dce/dce1202e4a4742ff4be548a0b35dcef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2020-07-17T04:40:00Z</dcterms:created>
  <dcterms:modified xsi:type="dcterms:W3CDTF">2020-07-17T04:45:00Z</dcterms:modified>
</cp:coreProperties>
</file>