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6" w:rsidRPr="00427DB3" w:rsidRDefault="00987976" w:rsidP="00427DB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Методы идентификации химических молекул</w:t>
      </w:r>
    </w:p>
    <w:p w:rsidR="00987976" w:rsidRPr="00427DB3" w:rsidRDefault="00987976" w:rsidP="00427DB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1 Физико-химические методы идентификации органических</w:t>
      </w:r>
      <w:r w:rsidR="002370CD">
        <w:rPr>
          <w:rFonts w:ascii="Times New Roman" w:hAnsi="Times New Roman" w:cs="Times New Roman"/>
          <w:sz w:val="24"/>
          <w:szCs w:val="24"/>
        </w:rPr>
        <w:t xml:space="preserve"> </w:t>
      </w:r>
      <w:r w:rsidRPr="00427DB3">
        <w:rPr>
          <w:rFonts w:ascii="Times New Roman" w:hAnsi="Times New Roman" w:cs="Times New Roman"/>
          <w:sz w:val="24"/>
          <w:szCs w:val="24"/>
        </w:rPr>
        <w:t>соединений</w:t>
      </w:r>
    </w:p>
    <w:p w:rsidR="00987976" w:rsidRPr="00427DB3" w:rsidRDefault="00987976" w:rsidP="003E632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Существенную роль в установлении строения органических соединений играют физико-химические или инструментальные методы анализа. Преимущество инструментальных методов перед химическими состоит, прежде всего, в том, что они позволяют получить информацию о количестве и относительном расположении в молекуле тех или иных функциональных групп, пространственном строении вещества, наличии и локальном окружении парамагнитных центров и т.д. Кроме того, при инструментальном анализе вещество, как правило, подвергается слабым воздействиям, не изменяется и не расходуется, что позволяет использовать физические методы для изучения строения нестойких и малостойких веществ. К важнейшим физическим методам относят: спектральные (инфракрасная спектроскопия (ИК), спектроскопия колебательного рассеяния, ультрафиолетовая спектроскопия (УФ), спектроскопия в видимой области спектра, спектроскопия ядерного магнитного резонанса (ЯМР), спектроскопия, рентгеновская фотоэлектронная спектроскопия (RSA), электронный парамагнитный резонанс (ЭПР)) и дифракционные методы (рентгенография, электронография, нейтронография).</w:t>
      </w:r>
    </w:p>
    <w:p w:rsidR="00987976" w:rsidRPr="00427DB3" w:rsidRDefault="00987976" w:rsidP="003E632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Каждый отдельный метод имеет ограничения и однозначно не может решить структурную задачу. Поэтому часто для изучения структуры используют комплекс физических методов. Существует два основных подхода к установлению строения органического соединения:</w:t>
      </w:r>
    </w:p>
    <w:p w:rsidR="00987976" w:rsidRPr="00427DB3" w:rsidRDefault="00987976" w:rsidP="003E63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если исследуемое вещество было ранее изучено, для доказательства его</w:t>
      </w:r>
      <w:r w:rsidR="00427DB3" w:rsidRPr="00427DB3">
        <w:rPr>
          <w:rFonts w:ascii="Times New Roman" w:hAnsi="Times New Roman" w:cs="Times New Roman"/>
          <w:sz w:val="24"/>
          <w:szCs w:val="24"/>
        </w:rPr>
        <w:t xml:space="preserve"> </w:t>
      </w:r>
      <w:r w:rsidRPr="00427DB3">
        <w:rPr>
          <w:rFonts w:ascii="Times New Roman" w:hAnsi="Times New Roman" w:cs="Times New Roman"/>
          <w:sz w:val="24"/>
          <w:szCs w:val="24"/>
        </w:rPr>
        <w:t>структуры определяют физические константы и спектральные характеристики,</w:t>
      </w:r>
      <w:r w:rsidR="00427DB3" w:rsidRPr="00427DB3">
        <w:rPr>
          <w:rFonts w:ascii="Times New Roman" w:hAnsi="Times New Roman" w:cs="Times New Roman"/>
          <w:sz w:val="24"/>
          <w:szCs w:val="24"/>
        </w:rPr>
        <w:t xml:space="preserve"> </w:t>
      </w:r>
      <w:r w:rsidRPr="00427DB3">
        <w:rPr>
          <w:rFonts w:ascii="Times New Roman" w:hAnsi="Times New Roman" w:cs="Times New Roman"/>
          <w:sz w:val="24"/>
          <w:szCs w:val="24"/>
        </w:rPr>
        <w:t>которые сравнивают с литературными данными;</w:t>
      </w:r>
    </w:p>
    <w:p w:rsidR="00987976" w:rsidRPr="00427DB3" w:rsidRDefault="00987976" w:rsidP="003E63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если органическое соединение получено впервые, то осуществляют</w:t>
      </w:r>
      <w:r w:rsidR="00427DB3" w:rsidRPr="00427DB3">
        <w:rPr>
          <w:rFonts w:ascii="Times New Roman" w:hAnsi="Times New Roman" w:cs="Times New Roman"/>
          <w:sz w:val="24"/>
          <w:szCs w:val="24"/>
        </w:rPr>
        <w:t xml:space="preserve"> </w:t>
      </w:r>
      <w:r w:rsidRPr="00427DB3">
        <w:rPr>
          <w:rFonts w:ascii="Times New Roman" w:hAnsi="Times New Roman" w:cs="Times New Roman"/>
          <w:sz w:val="24"/>
          <w:szCs w:val="24"/>
        </w:rPr>
        <w:t>следующую последовательность действий:</w:t>
      </w:r>
    </w:p>
    <w:p w:rsidR="00987976" w:rsidRPr="00427DB3" w:rsidRDefault="00987976" w:rsidP="003E6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а) качественный и количественный элементный анализ;</w:t>
      </w:r>
    </w:p>
    <w:p w:rsidR="00427DB3" w:rsidRPr="00427DB3" w:rsidRDefault="00427DB3" w:rsidP="003E6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 xml:space="preserve">б) определение молекулярной массы вещества методом масс-спектрометрии, либо с помощью </w:t>
      </w:r>
      <w:proofErr w:type="spellStart"/>
      <w:r w:rsidRPr="00427DB3">
        <w:rPr>
          <w:rFonts w:ascii="Times New Roman" w:hAnsi="Times New Roman" w:cs="Times New Roman"/>
          <w:sz w:val="24"/>
          <w:szCs w:val="24"/>
        </w:rPr>
        <w:t>криоскопического</w:t>
      </w:r>
      <w:proofErr w:type="spellEnd"/>
      <w:r w:rsidRPr="00427DB3">
        <w:rPr>
          <w:rFonts w:ascii="Times New Roman" w:hAnsi="Times New Roman" w:cs="Times New Roman"/>
          <w:sz w:val="24"/>
          <w:szCs w:val="24"/>
        </w:rPr>
        <w:t xml:space="preserve"> (по понижению температуры замерзания) и эбуллиоскопического (по повышению температуры кипения) методов;</w:t>
      </w:r>
    </w:p>
    <w:p w:rsidR="00427DB3" w:rsidRPr="00427DB3" w:rsidRDefault="00427DB3" w:rsidP="003E6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в) определение брутто-формулы вещества на основании молекулярной массы и данных элементного анализа;</w:t>
      </w:r>
    </w:p>
    <w:p w:rsidR="00427DB3" w:rsidRPr="00427DB3" w:rsidRDefault="00427DB3" w:rsidP="003E6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г) определение структуры углеводородного скелета, природы и положения функциональных групп с помощью совместного применения химических и физических методов анализа.</w:t>
      </w:r>
    </w:p>
    <w:p w:rsidR="00427DB3" w:rsidRPr="00427DB3" w:rsidRDefault="00427DB3" w:rsidP="003E632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Наибольшее распространение в структурном анализе органических соединений получили спектральные методы. Рассмотрим некоторые из них.</w:t>
      </w:r>
    </w:p>
    <w:p w:rsidR="00427DB3" w:rsidRPr="00427DB3" w:rsidRDefault="00427DB3" w:rsidP="003E632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DB3">
        <w:rPr>
          <w:rFonts w:ascii="Times New Roman" w:hAnsi="Times New Roman" w:cs="Times New Roman"/>
          <w:sz w:val="24"/>
          <w:szCs w:val="24"/>
        </w:rPr>
        <w:t>В основу спектральных методов положено свойство органических соединений поглощать электромагнитное излучение в определенном диапазоне электромагнитного спектра.</w:t>
      </w:r>
    </w:p>
    <w:p w:rsidR="00427DB3" w:rsidRPr="002370CD" w:rsidRDefault="00427DB3" w:rsidP="003E632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зависимости от длины волны, электромагнитное излучение подразделяется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н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есколько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областей: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рентгеновскую,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ультрафиолетовую,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видимую,</w:t>
      </w:r>
      <w:r w:rsidRPr="002370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инфракрасную, микроволновую и радиочастотную.</w:t>
      </w:r>
    </w:p>
    <w:p w:rsidR="00FE3866" w:rsidRDefault="00FE3866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2370CD" w:rsidRPr="00427DB3" w:rsidRDefault="002370CD" w:rsidP="0042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27DB3" w:rsidRPr="00427DB3" w:rsidRDefault="00427DB3" w:rsidP="0042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Таблица 1. — Области электромагнитного излучения и виды регистрируемых</w:t>
      </w:r>
    </w:p>
    <w:p w:rsidR="002370CD" w:rsidRPr="002370CD" w:rsidRDefault="00427DB3" w:rsidP="0042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7D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спектров </w:t>
      </w:r>
    </w:p>
    <w:p w:rsidR="002370CD" w:rsidRPr="002370CD" w:rsidRDefault="002370CD" w:rsidP="00427DB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370CD" w:rsidRPr="002370CD" w:rsidRDefault="002370CD" w:rsidP="002370CD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70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6CCD6C" wp14:editId="72E18836">
            <wp:extent cx="612140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866" w:rsidRP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Поглощение молекулой вещества электромагнитного излучения происходит квантами (</w:t>
      </w:r>
      <w:proofErr w:type="spellStart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hν</w:t>
      </w:r>
      <w:proofErr w:type="spellEnd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при этом молекула переходит из основного в возбужденное состояние.</w:t>
      </w:r>
    </w:p>
    <w:p w:rsidR="00FE3866" w:rsidRP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 молекул веществ с излучением происходит избирательно, т.е. поглощаются только те кванты света, энергия которых соответствует разности энергий двух квантовых состояний - основного (E1) и возбужденного (Е2):</w:t>
      </w:r>
    </w:p>
    <w:p w:rsidR="00FE3866" w:rsidRP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∆Е = Е2 – Е1 = </w:t>
      </w:r>
      <w:proofErr w:type="spellStart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hν</w:t>
      </w:r>
      <w:proofErr w:type="spellEnd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</w:p>
    <w:p w:rsidR="002370CD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Поглощенная энергия в ультрафиолетовой и видимой областях спектра расходуется на возбуждение электронов. Изучением электронных переходов занимается электронная спектроскопия. Энергия ИК излучения расходуется на возбуждение колебаний атомных групп в молекуле, что является предметом изучения ИК спектроскопии. Радиочастотное излучение вызывает изменение спинового состояния атомных ядер, которое измеряется спектроскопией ЯМР, а также неспаренных электронов парамагнитных частиц, что регистрируется методом ЭПР. </w:t>
      </w:r>
    </w:p>
    <w:p w:rsidR="00FE3866" w:rsidRP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реальных условиях поглощение веществом энергии излучения происходит не строго при определенной длине волны, соответствующей энергии перехода молекулы в возбужденное состояние, а в некотором интервале длин волн.</w:t>
      </w:r>
    </w:p>
    <w:p w:rsidR="00FE3866" w:rsidRP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Графическое изображение распределения поглощаемой энергии по длинам волн называется спектром поглощения. Участок спектра, на котором наблюдается интенсивное поглощение вещества, называют полосой поглощения. Наибольший интерес для анализа представляют следующие характеристики спектра: число максимумов (полос поглощения), их положение по шкале длин волн (</w:t>
      </w:r>
      <w:proofErr w:type="spellStart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λmax</w:t>
      </w:r>
      <w:proofErr w:type="spellEnd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высота максимума (значение молярного коэффициента экстинкции ε (λ) в максимуме поглощения (</w:t>
      </w:r>
      <w:proofErr w:type="spellStart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εmax</w:t>
      </w:r>
      <w:proofErr w:type="spellEnd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)), интенсивность полосы поглощения, ширина и форма полосы.</w:t>
      </w:r>
    </w:p>
    <w:p w:rsid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Ширину полосы поглощения (δ) измеряют при половине высоты максимума (</w:t>
      </w:r>
      <w:proofErr w:type="spellStart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εmax</w:t>
      </w:r>
      <w:proofErr w:type="spellEnd"/>
      <w:r w:rsidRPr="00FE38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/2) (рисунок 1.).</w:t>
      </w:r>
    </w:p>
    <w:p w:rsidR="00FE3866" w:rsidRDefault="00FE3866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FE3866" w:rsidRDefault="00FE3866" w:rsidP="00FE38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11D6A7" wp14:editId="2E84A921">
            <wp:extent cx="481012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EDB" w:rsidRP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λ – длина волны,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λmax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длина волны в максимуме поглощения, ε –</w:t>
      </w:r>
    </w:p>
    <w:p w:rsidR="00581EDB" w:rsidRP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количество поглощенной энергии,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εmax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максимум поглощения, δ – ширина</w:t>
      </w:r>
    </w:p>
    <w:p w:rsidR="00581EDB" w:rsidRP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полосы поглощения при ε = 1/2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εmax</w:t>
      </w:r>
      <w:proofErr w:type="spellEnd"/>
    </w:p>
    <w:p w:rsidR="00FE3866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Рисунок 1. Полоса поглощен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 и ее основные характеристики</w:t>
      </w:r>
    </w:p>
    <w:p w:rsid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Каждое вещество характеризуется индивидуальным спектром поглощения, что позволяет проводить идентификацию соединения.</w:t>
      </w:r>
    </w:p>
    <w:p w:rsid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81EDB" w:rsidRP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Основы электронной спектроскопии</w:t>
      </w:r>
    </w:p>
    <w:p w:rsidR="00581EDB" w:rsidRPr="00581EDB" w:rsidRDefault="00581EDB" w:rsidP="0058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Электронная спектроскопия изучает спектры поглощения в УФ и видимой областях диапазона электромагнитного излучения, возникающие при изменении электронной энергии молекул. Рассматривается поведение только валентных электронов. Электронные молекулярные спектры наблюдаются как в поглощении (спектры поглощения), так и в испускании (спектры люминесценции).</w:t>
      </w:r>
    </w:p>
    <w:p w:rsidR="00581EDB" w:rsidRPr="00DB3F5F" w:rsidRDefault="00581EDB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Согласно </w:t>
      </w:r>
      <w:proofErr w:type="gram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теории</w:t>
      </w:r>
      <w:proofErr w:type="gram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молекулярных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орбиталей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(МО), электронные переходы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рассматриваются как перемещение электронов со связывающих σ и π молекулярных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орбиталей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 также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несвязывающих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(n) </w:t>
      </w:r>
      <w:proofErr w:type="spellStart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орбиталей</w:t>
      </w:r>
      <w:proofErr w:type="spellEnd"/>
      <w:r w:rsidRPr="00581E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разрыхляющие σ* и π*. При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этом возможны четыре типа электронных переходов (рисунок 1.2):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σ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→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σ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*,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π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→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π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*,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n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→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σ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*,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n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→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π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</w:t>
      </w:r>
    </w:p>
    <w:p w:rsid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E7F692" wp14:editId="0D0F5C6A">
            <wp:extent cx="3067050" cy="1571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F5F" w:rsidRDefault="00891F92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Рисунок </w:t>
      </w:r>
      <w:r w:rsidR="00DB3F5F"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— Типы электронных переходов</w:t>
      </w:r>
    </w:p>
    <w:p w:rsid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B3F5F" w:rsidRPr="00262595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 σ → σ* осуществляется в органических соединениях, содержащих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σ связи (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алканы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циклоалканы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Эти переходы требуют наибольшей энергии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проявляются в вакууме в дальней УФ области.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DB3F5F" w:rsidRP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Переходы σ → σ* и n → σ* осуществляются в органических соединениях,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содержащих σ связи с n-донорами (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гетероатомы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N, O, S, F,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Cl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Br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I).</w:t>
      </w:r>
    </w:p>
    <w:p w:rsidR="00DB3F5F" w:rsidRP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Переходы σ → σ*, n → σ*, π → π*, n → π* осуществляются в органических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соединениях с кратными связями.</w:t>
      </w:r>
    </w:p>
    <w:p w:rsidR="00DB3F5F" w:rsidRP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Переходы n → π* и π → π*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низкоэнергетичны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проявляются в виде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поглощения в ближней УФ (от 200 до 400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нм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 и видимой (от 400 до 800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нм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областях.</w:t>
      </w:r>
    </w:p>
    <w:p w:rsidR="00DB3F5F" w:rsidRP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Интенсивность поглощения (ε) определяет вероятность электронного перехода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каждого типа. С наибольшей вероятностью происходят электронные переходы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 МО одного типа симметрии (π → π*, σ → σ*) – это разрешенные по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симметрии переходы (переходы с сохранением спина электрона или переходы с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сохранением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мультиплетности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основного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возбужденного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состояний).</w:t>
      </w:r>
    </w:p>
    <w:p w:rsidR="00DB3F5F" w:rsidRDefault="00DB3F5F" w:rsidP="00DB3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Запрещенные по симметрии переходы (n → σ*, n → π*) маловероятны и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малоинтенсивны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Запрещенные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спину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переходы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происходят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нарушение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интеркомбинационного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запрета (запрета по спину) и осуществляются для молекул с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сильным спин-орбитальным взаимодействием. В результате таких переходов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возникают, например, спектры фосфоресценции, которые соответствуют переходам</w:t>
      </w:r>
      <w:r w:rsidR="00262595"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 возбуждённого триплетного состояния в основное </w:t>
      </w:r>
      <w:proofErr w:type="spellStart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синглетное</w:t>
      </w:r>
      <w:proofErr w:type="spellEnd"/>
      <w:r w:rsidRPr="00DB3F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состояние.</w:t>
      </w:r>
    </w:p>
    <w:p w:rsidR="00262595" w:rsidRPr="00262595" w:rsidRDefault="00262595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Таким образом, электронную спектроскопию используют, в основном, для анализа органических соединений с кратными связями. Атомная группировка, содержащая одну или несколько кратных связей, называется хромофором. Спектры поглощения некоторых хромофоров приведены в таблице 2.</w:t>
      </w:r>
    </w:p>
    <w:p w:rsidR="00262595" w:rsidRDefault="00262595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25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Различают изолированные и сопряженные хромофоры. К первым относят следующие группы:</w:t>
      </w:r>
    </w:p>
    <w:p w:rsidR="00262595" w:rsidRDefault="00262595" w:rsidP="0026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BACA7" wp14:editId="6798C631">
            <wp:extent cx="5940425" cy="6978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95" w:rsidRDefault="00262595" w:rsidP="0026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62595" w:rsidRDefault="00891F92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1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 вторым – системы сопряженных кратных связей:</w:t>
      </w:r>
    </w:p>
    <w:p w:rsidR="00891F92" w:rsidRDefault="00891F92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1F92" w:rsidRDefault="00891F92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5FDFEE" wp14:editId="5B700C64">
            <wp:extent cx="2409825" cy="1133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628201" wp14:editId="15F0B9D7">
            <wp:extent cx="2619375" cy="1028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92" w:rsidRDefault="00891F92" w:rsidP="00262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1F92" w:rsidRDefault="00152278" w:rsidP="0015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Поглощение сопряженных хромофоров происходит в более длинноволновой области и с большей интенсивностью. Положение максимума поглощения может меняться в зависимости от окружения группы. Например, включение в систему хромофора групп, содержащих </w:t>
      </w:r>
      <w:proofErr w:type="spellStart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гетероатомы</w:t>
      </w:r>
      <w:proofErr w:type="spellEnd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proofErr w:type="spellStart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неподеленной</w:t>
      </w:r>
      <w:proofErr w:type="spellEnd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электронной парой (</w:t>
      </w:r>
      <w:proofErr w:type="spellStart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ауксохромов</w:t>
      </w:r>
      <w:proofErr w:type="spellEnd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приводит к сдвигу максимума спектра в длинноволновую область и к увеличению интенсивности поглощения. Смещение полос поглощения обозначают специальной терминологией: в сторону больших длин волн – батохромным сдвигом, в сторону меньших –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гипсохромным сдвигом, с увеличением интенсивности – </w:t>
      </w:r>
      <w:proofErr w:type="spellStart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гиперхромным</w:t>
      </w:r>
      <w:proofErr w:type="spellEnd"/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эффектом, с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2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уменьшением интенсивности – гипохромным эффектом.</w:t>
      </w:r>
    </w:p>
    <w:p w:rsidR="00A062E5" w:rsidRDefault="00A062E5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A062E5" w:rsidRDefault="00A062E5" w:rsidP="0015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62E5" w:rsidRDefault="00A062E5" w:rsidP="0015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Таблица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— Основные параметры спектров поглощения некоторых хромофоров</w:t>
      </w:r>
    </w:p>
    <w:p w:rsidR="00A062E5" w:rsidRDefault="00A062E5" w:rsidP="00A06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68073F" wp14:editId="0CE77C41">
            <wp:extent cx="5940425" cy="372999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Поглощение сопряженных хромофоров происходит в более длинноволновой области и с большей интенсивностью. Положение максимума поглощения может меняться в зависимости от окружения группы. Например, включение в систему хромофора групп, содержащих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гетероатомы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неподеленной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электронной парой (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ауксохромов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приводит к сдвигу максимума спектра в длинноволновую область и к увеличению интенсивности поглощения.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Смещение полос поглощения обозначают специальной терминологией: в сторону больших длин волн – батохромным сдвигом, в сторону меньших – гипсохромным сдвигом, с увеличением интенсивности –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гиперхромным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эффектом, с уменьшением интенсивности – гипохромным эффектом.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Электронные эффекты снимают обычно в разбавленных растворах, применяя растворители, которые не поглощают выше 200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нм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(вода, насыщенные углеводороды, спирты, простые эфиры). Измеряют оптическую плотность раствора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(D):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D =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lg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(I0/I), (5)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I0 — интенсивность падающего на кювету с раствором света;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 — интенсивность светового потока, прошедшего через раствор вещества.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этом выполняется закон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Бугера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Ламберта –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Бера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D =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εcl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(6)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с — концентрация раствора;</w:t>
      </w:r>
    </w:p>
    <w:p w:rsid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l — длина кюветы, см.</w:t>
      </w:r>
    </w:p>
    <w:p w:rsidR="00A062E5" w:rsidRDefault="00A062E5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Основы ИК спектроскопии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ИК область охватывает длины волн от 103 до 106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нм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(от 100 до 5000 см-1), что соответствует энергии квантов от 3 до 60 кДж / моль. Принцип ИК спектроскопии заключается в том, что при облучении вещества ИК излучением с непрерывно меняющейся частотой определенные участки спектра поглощаются молекулой, вызывая увеличение амплитуды колебаний соответствующих связей. В результате луч, проходящий через вещество, ослабляется в областях поглощения, на выходе регистрируется его интенсивность и записывается ИК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ИК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представляют в виде зависимости пропускания Т, в процентах (формула 7) от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волнового числа или длины волны.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= (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/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proofErr w:type="gram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0)*</w:t>
      </w:r>
      <w:proofErr w:type="gram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100 % , (7)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Т — процент пропускания проходящего света;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интенсивность проходящего через вещество излучения, Вт/м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2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 — интенсивность падающего на вещество излучения, Вт/м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2</w:t>
      </w:r>
    </w:p>
    <w:p w:rsidR="00AD0553" w:rsidRDefault="00AD0553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62E5" w:rsidRPr="00A062E5" w:rsidRDefault="00A062E5" w:rsidP="00AD05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 возможных колебаний зависит от числа атомов в молекуле; число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наблюдаемых колебаний обусловлено симметрией молекул.</w:t>
      </w:r>
    </w:p>
    <w:p w:rsidR="00A062E5" w:rsidRP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Экспериментально ИК область исследуется двумя методами: методом ИК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спектроскопии и при помощи спектров комбинационного рассеяния. Физическая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природа этих спектров различна. Спектры КР связаны с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поляризуемостью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молекулы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(способностью к деформации электронной оболочки). ИК спектры поглощения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обусловливаются переходами между двумя колебательными уровнями одного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электронного состояния молекулы.</w:t>
      </w:r>
    </w:p>
    <w:p w:rsidR="00A062E5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Колебательное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движение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атомов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можно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приближенно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описать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закономерностями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классической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физики,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используя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модель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гармонического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осциллятора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колебаний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двухатомной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молекулы.</w:t>
      </w:r>
    </w:p>
    <w:p w:rsidR="00245F0B" w:rsidRDefault="00245F0B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45F0B" w:rsidRPr="00245F0B" w:rsidRDefault="00245F0B" w:rsidP="00245F0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5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Гармони́ческий</w:t>
      </w:r>
      <w:proofErr w:type="spellEnd"/>
      <w:r w:rsidRPr="00245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45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осцилля́тор</w:t>
      </w:r>
      <w:proofErr w:type="spellEnd"/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 (в </w:t>
      </w:r>
      <w:hyperlink r:id="rId12" w:tooltip="Классическая механика" w:history="1">
        <w:r w:rsidRPr="00245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классической механике</w:t>
        </w:r>
      </w:hyperlink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) — </w:t>
      </w:r>
      <w:hyperlink r:id="rId13" w:tooltip="Механическая система" w:history="1">
        <w:r w:rsidRPr="00245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система</w:t>
        </w:r>
      </w:hyperlink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 выведении её из </w:t>
      </w:r>
      <w:hyperlink r:id="rId14" w:tooltip="Механическое равновесие" w:history="1">
        <w:r w:rsidRPr="00245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 равновесия</w:t>
        </w:r>
      </w:hyperlink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испытывает действие возвращающей </w:t>
      </w:r>
      <w:hyperlink r:id="rId15" w:tooltip="Сила (физическая величина)" w:history="1">
        <w:r w:rsidRPr="00245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силы</w:t>
        </w:r>
      </w:hyperlink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45F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F0428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ропорциональной</w:t>
      </w:r>
      <w:proofErr w:type="spellEnd"/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смещению </w:t>
      </w:r>
      <w:r w:rsidRPr="00245F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5F0B" w:rsidRPr="00F0428D" w:rsidRDefault="00245F0B" w:rsidP="00245F0B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0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F0428D" w:rsidRPr="00F042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0428D" w:rsidRPr="00F0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kx</w:t>
      </w:r>
      <w:proofErr w:type="spellEnd"/>
    </w:p>
    <w:p w:rsidR="00245F0B" w:rsidRPr="00245F0B" w:rsidRDefault="00F0428D" w:rsidP="00245F0B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gramStart"/>
      <w:r w:rsidR="00245F0B" w:rsidRPr="00245F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245F0B"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gramEnd"/>
      <w:r w:rsidR="00245F0B"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 коэффициент.</w:t>
      </w:r>
    </w:p>
    <w:p w:rsidR="00F0428D" w:rsidRPr="00F0428D" w:rsidRDefault="00F0428D" w:rsidP="00F0428D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245F0B" w:rsidRPr="00245F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45F0B"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единственная сила, действующая на систему, то систему называют </w:t>
      </w:r>
      <w:r w:rsidR="00245F0B" w:rsidRPr="00245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простым</w:t>
      </w:r>
      <w:r w:rsidR="00245F0B"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="00245F0B" w:rsidRPr="00245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консервативным гармоническим осциллятором</w:t>
      </w:r>
      <w:r w:rsidR="00245F0B" w:rsidRPr="00245F0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Свободные колебания такой системы представляют собой периодическое движение около положения равновесия (гармонические колебания). Частота и амплитуда при этом постоянны, причём частота не зависит от амплитуды.</w:t>
      </w:r>
      <w:r w:rsidRPr="00F0428D">
        <w:t xml:space="preserve"> </w:t>
      </w:r>
      <w:r w:rsidRPr="00F042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осциллятор предоставлен сам себе, то говорят, что он совершает свободные колебания. Если же присутствует внешняя сила (зависящая от времени), то говорят, что осциллятор испытывает вынужденные колебания.</w:t>
      </w:r>
    </w:p>
    <w:p w:rsidR="00245F0B" w:rsidRPr="00245F0B" w:rsidRDefault="00F0428D" w:rsidP="00F0428D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Механическими примерами гармонического осциллятора являются математический маятник (с малыми углами отклонения), груз на пружине, торсионный маятник и акустические системы. </w:t>
      </w:r>
    </w:p>
    <w:p w:rsidR="00A062E5" w:rsidRPr="00AD0553" w:rsidRDefault="00A062E5" w:rsidP="00A06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Каждое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смещение атомного ядра из равновесного положения приводит к повышению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потенциальной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молекулы.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Кривая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потенциальной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обычно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аппроксимируется параболой, вершина которой </w:t>
      </w:r>
      <w:proofErr w:type="spellStart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val="en-US" w:eastAsia="ru-RU"/>
        </w:rPr>
        <w:t>o</w:t>
      </w:r>
      <w:proofErr w:type="spellEnd"/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соответствует положению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равновесия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(рисунок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3).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Собственное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значение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06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гармонического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осциллято</w:t>
      </w:r>
      <w:r w:rsidR="00AD0553"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 определяется выражением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AD0553" w:rsidRPr="00AD0553" w:rsidRDefault="00AD0553" w:rsidP="00AD0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E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 = (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υ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+ 1/</w:t>
      </w:r>
      <w:proofErr w:type="gramStart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2)·</w:t>
      </w:r>
      <w:proofErr w:type="spellStart"/>
      <w:proofErr w:type="gramEnd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hν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val="en-US" w:eastAsia="ru-RU"/>
        </w:rPr>
        <w:t>o</w:t>
      </w:r>
      <w:proofErr w:type="spellEnd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(8)</w:t>
      </w:r>
    </w:p>
    <w:p w:rsidR="00AD0553" w:rsidRDefault="00AD0553" w:rsidP="00AD0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где 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υ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колебательное квантовое число, принимающее значение 0,1,2,3</w:t>
      </w:r>
      <w:proofErr w:type="gramStart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;</w:t>
      </w:r>
      <w:proofErr w:type="gramEnd"/>
    </w:p>
    <w:p w:rsidR="00AD0553" w:rsidRDefault="00AD0553" w:rsidP="00AD0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</w:t>
      </w:r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o</w:t>
      </w:r>
      <w:proofErr w:type="spellEnd"/>
      <w:r w:rsidRPr="00AD0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частота колебания гармонического осциллятора.</w:t>
      </w:r>
    </w:p>
    <w:p w:rsidR="00AD0553" w:rsidRDefault="00F0428D" w:rsidP="00AD0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BAE3E4" wp14:editId="569ADCF0">
            <wp:extent cx="5019675" cy="29241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553" w:rsidRDefault="00AD0553" w:rsidP="00AD0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0428D" w:rsidRPr="00F0428D" w:rsidRDefault="00F0428D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r – межъядерное расстояние; r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0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межъядерное расстояние, соответствующее</w:t>
      </w:r>
      <w:r w:rsid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минимальной энергии системы (состоянию равновесия); Е – потенциальная</w:t>
      </w:r>
    </w:p>
    <w:p w:rsidR="00F0428D" w:rsidRPr="00F0428D" w:rsidRDefault="00F0428D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энергия системы.</w:t>
      </w:r>
    </w:p>
    <w:p w:rsidR="00F0428D" w:rsidRDefault="00F0428D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Рисунок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Кривая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потенциальной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гармонического осциллятора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F0428D" w:rsidRDefault="00F0428D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0428D" w:rsidRDefault="00F0428D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Реальную молекулу можно представить в виде гармоничного осциллятора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при малых колебаниях. С увеличением амплитуды колебания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гармоничность</w:t>
      </w:r>
      <w:proofErr w:type="spellEnd"/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делается все заметнее. Связи в молекуле не могут растягиваться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беспредельно,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предела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молекула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начинает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диссоциировать</w:t>
      </w:r>
      <w:proofErr w:type="spellEnd"/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Сжатию связи молекула сопротивляется сильнее, чем растяжению.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Кривые потенциальной энергии реальной молекулы имеют более сложный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4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091789" w:rsidRDefault="00091789" w:rsidP="0009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нгармоничность</w:t>
      </w:r>
      <w:proofErr w:type="spellEnd"/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проявляется в “нарушении” правила отбора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помимо основного (наиболее интенсивного) перехода колебательной системы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∆ υ = 1, могут осуществляться переходы с ∆ υ = +2, ∆ υ = +3, называемые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обертонами (рисунок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4).</w:t>
      </w:r>
    </w:p>
    <w:p w:rsidR="00091789" w:rsidRDefault="00091789" w:rsidP="0009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91789" w:rsidRDefault="00091789" w:rsidP="0009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980AF8" wp14:editId="682D634A">
            <wp:extent cx="3790950" cy="2929038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6281" cy="293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89" w:rsidRDefault="00091789" w:rsidP="0009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Рисунок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— Кривая потенциальной энергии и уровни колебательной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ии ангармонического осциллятора</w:t>
      </w:r>
    </w:p>
    <w:p w:rsidR="00091789" w:rsidRPr="00091789" w:rsidRDefault="00091789" w:rsidP="0009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Основной переход дает в спектре первую самую интенсивную полосу, которой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соответствует основная или фундаментальная частота - </w:t>
      </w:r>
      <w:proofErr w:type="spellStart"/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о</w:t>
      </w:r>
      <w:proofErr w:type="spellEnd"/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Обертоны дают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наименее интенсивные полосы. Учитывая постепенное сближение колебательных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уровней ангармонического осциллятора, частота первого обертона ν1 (∆ υ = +2)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меньше, чем удвоенная частота основного перехода ν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0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частота второго обертона ν2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(∆ υ = +3) меньше, чем 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утроенная частота ν0 (рисунок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5).</w:t>
      </w:r>
    </w:p>
    <w:p w:rsidR="00091789" w:rsidRDefault="00091789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Общее количество нормальных колебаний молекулы (т.е. колебаний, при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которых все ядра молекулы колеблются с одинаковой частотой и в одинаковой фазе)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соответствует количеству степеней свободы. В свою очередь число степеней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7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свободы определяется общим количеством атомов и геометрией молекулы. Так,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55431"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молекула, состоящая из N атомов, обладает 3N степенями свободы движения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55431"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молекулы, из которых 3 приходятся на поступательное движение, (3N – 3) – на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55431"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вращение и колебание молекулы. При этом для линейных молекул характерно (3N –</w:t>
      </w:r>
      <w:r w:rsid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55431"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 колебательных степеней свободы, для нелинейных – (3N – 6).</w:t>
      </w: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DC255B" wp14:editId="29B126CE">
            <wp:extent cx="3219450" cy="1285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сунок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Схематический колебательный спектр ангармонического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осциллятора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Различают два основных типа колебаний в молекулах – валентные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деформационные. Колебания вдоль оси связи атомов (растягивание – сокращение)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называют валентными (обозначают ν). Колебания же, обусловленные изменением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валентных углов, - деформационные (обозначают δ). Для изменения межъядерного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расстояния нужна большая энергия, чем для изменения валентного угла, поэтому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деформационным колебаниям всегда соответствует более длинноволновая часть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спектра, чем валентным колебаниям. Отдельные виды колебаний можно наблюдать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в небольших и простых молекулах. В сложных молекулах валентным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колебаниям всегда сопутствуют деформационные, и наоборот.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Валентные колебания подразделяются на симметричные (</w:t>
      </w:r>
      <w:proofErr w:type="spellStart"/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νs</w:t>
      </w:r>
      <w:proofErr w:type="spellEnd"/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и асимметричные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spellStart"/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νas</w:t>
      </w:r>
      <w:proofErr w:type="spellEnd"/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Для симметричных колебаний характерно одновременное растяжение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сокращение связей, для асимметричных – поочередности.</w:t>
      </w:r>
    </w:p>
    <w:p w:rsidR="00655431" w:rsidRDefault="00655431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54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Деформационные колебания различают по видам изменения валентного угла:</w:t>
      </w:r>
    </w:p>
    <w:p w:rsidR="001C17CE" w:rsidRDefault="001C17CE" w:rsidP="00655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5431" w:rsidRDefault="00655431" w:rsidP="00655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267DB7" wp14:editId="2807D906">
            <wp:extent cx="3178499" cy="154305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98095" cy="155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7CE">
        <w:rPr>
          <w:noProof/>
          <w:lang w:eastAsia="ru-RU"/>
        </w:rPr>
        <w:drawing>
          <wp:inline distT="0" distB="0" distL="0" distR="0" wp14:anchorId="055BEEBE" wp14:editId="38BDB9FD">
            <wp:extent cx="2635250" cy="142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4958" cy="14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CE" w:rsidRDefault="001C17CE" w:rsidP="00655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17CE" w:rsidRPr="001C17CE" w:rsidRDefault="001C17CE" w:rsidP="001C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 колебания отдельных пар или групп атомов, которые происходят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 независимо от окружения, имеют собственную частоту, незначительно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изменяющуюся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вещества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другому,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называют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характеристическими или групповыми. Они служат для определения в молекуле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определенных функциональных групп. Строго локализованные групповые частоты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представляют предельный идеальный случай. На практике приходится учитывать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влияние радикалов - ближнее взаимодействие или влияние окружающей среды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(например, агрегатного состояния, растворителя, условий регистрации)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дальнее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взаимодействие.</w:t>
      </w:r>
    </w:p>
    <w:p w:rsidR="001C17CE" w:rsidRPr="001C17CE" w:rsidRDefault="001C17CE" w:rsidP="001C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частоты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называемые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корреляционные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таблицы,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широко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прикладной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спектроскопии для определения строения молекул и проведения качественного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анализа по ИК </w:t>
      </w:r>
      <w:proofErr w:type="gram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спектрам .</w:t>
      </w:r>
      <w:proofErr w:type="gramEnd"/>
    </w:p>
    <w:p w:rsidR="001C17CE" w:rsidRPr="001C17CE" w:rsidRDefault="001C17CE" w:rsidP="001C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Интерпретацию ИК спектров начинают с высокочастотной области (от 3700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2500 см-1) – полосы валентных колебаний связей С-H, O-H, N-Н, S - H. Колебания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этой области дают наиболее интенсивные полосы. Но в этой же области спектра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поглощает вода, давая широкую полосу с максимумом поглощения при 3400 см-1.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Присутствие водородных связей также приводит к уширению полос поглощения и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сдвигу в более низкочастотную область спектра. Область от 2500 до 1300 см-1 —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 характеристических колебаний функциональных групп с кратными связями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(например,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винильная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ацетиленовая,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циано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имино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нитро-,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нитрозо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-,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карбонильная группы и т.д.). Область от 1300 до 600 см-1 называют областью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«отпечатков пальцев», т.к. здесь сосредоточено большое число полос, многие из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которых обусловлены колебаниями углеродного скелета всей молекулы. Характер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спектра в этой области существенно изменяется даже при незначительных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изменениях в структуре соединения. Данная область строго индивидуальна для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каждого вещества.</w:t>
      </w:r>
    </w:p>
    <w:p w:rsidR="001C17CE" w:rsidRPr="001C17CE" w:rsidRDefault="001C17CE" w:rsidP="001C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интерпретации ИК спектров наиболее информативными областями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являются области от 2500 до 1300 см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-1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от 3700 до 2500 см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-1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Анализ первой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позволяет получить информацию о наличии в структуре соединения непредельных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фрагментов, ароматические и гетероароматические ядра. Анализ второй области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позволяет однозначно идентифицировать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гидроксо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-,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амино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 тио-группы, а также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различные типы связей углерод-водород (Сsp3–H, Csp2–H, 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Csp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-H, O=C-H (</w:t>
      </w:r>
      <w:proofErr w:type="spell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альдо</w:t>
      </w:r>
      <w:proofErr w:type="spell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-)).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Поэтому рекомендуется начинать интерпретацию ИК спектров именно с этих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областей. При обнаружении полос валентных колебаний определенных типов связей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(например, </w:t>
      </w:r>
      <w:proofErr w:type="gramStart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О-Н</w:t>
      </w:r>
      <w:proofErr w:type="gramEnd"/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N-H, C-H) следует дополнительно искать полосы соответствующих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C17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деформационных колебаний в об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ласти от 1300 до 600 см</w:t>
      </w:r>
      <w:r w:rsidR="001A6945" w:rsidRPr="001A6945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-1</w:t>
      </w:r>
      <w:r w:rsid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C17CE" w:rsidRDefault="001C17CE" w:rsidP="001C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17CE" w:rsidRDefault="001C17CE" w:rsidP="001C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3A90E3" wp14:editId="48455D94">
            <wp:extent cx="5715000" cy="1885950"/>
            <wp:effectExtent l="0" t="0" r="0" b="0"/>
            <wp:docPr id="16" name="Рисунок 16" descr="https://studfile.net/html/65676/410/html_Qyji7MKcR6.bSrW/htmlconvd-12WBsz_html_e50e480f29f6a0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65676/410/html_Qyji7MKcR6.bSrW/htmlconvd-12WBsz_html_e50e480f29f6a0cc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CE" w:rsidRDefault="001C17CE" w:rsidP="001C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AF75B3" wp14:editId="7A2EF934">
            <wp:extent cx="5695950" cy="6629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945" w:rsidRDefault="001A6945" w:rsidP="001C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A6945" w:rsidRDefault="001A6945" w:rsidP="001C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A6945" w:rsidRP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Интерпретация спектра может быть затруднена в следующих случаях:</w:t>
      </w:r>
    </w:p>
    <w:p w:rsidR="001A6945" w:rsidRP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при наложении обертонов других частот на характеристические полосы;</w:t>
      </w:r>
    </w:p>
    <w:p w:rsidR="001A6945" w:rsidRP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в результате влияния электронных эффектов окружения;</w:t>
      </w:r>
    </w:p>
    <w:p w:rsid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в результате влияния межмолекулярных связей.</w:t>
      </w:r>
    </w:p>
    <w:p w:rsid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A6945" w:rsidRP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Подготовка образцов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образцов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съемке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инфракрасных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руководствоваться, с одной стороны, агрегатным состоянием образцов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нормальной температуре, с другой – агрегатным состоянием, в котором они будут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находиться при съемке спектра. Следует также учитывать, снимается ли спектр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самого вещества или его раствора.</w:t>
      </w:r>
    </w:p>
    <w:p w:rsidR="001A6945" w:rsidRP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помощи ИК спектров можно исследовать чистые жидкости и растворы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твердых,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жидких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газообразных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веществ.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Нередко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фазы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растворителя дает дополнительные сведения. И часто бывает так, что для данного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соединения максимально информативна только одна область из всего спектра.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Поэтому разумный выбор способа приготовления образца может иметь решающее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значение. Каких-либо строгих правил относительно того, какой фазе должно быть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отдано предпочтение, нет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Однако в общем случае лучше всего получаются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спектры чистых жидкостей или разбавленных растворов, хотя бывают веские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причины практического и теоретического характера, заставляющие выбирать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другие состояния вещества. ИК спектры газов и жидкостей могут быть получены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непосредственно при исследовании веществ в неразбавленном виде, тогда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твердые вещества изучаются обычно после диспергирования их в какой-либо среде.</w:t>
      </w:r>
    </w:p>
    <w:p w:rsidR="001A6945" w:rsidRDefault="001A6945" w:rsidP="001A69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растворами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суспензиями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учитывать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токсичность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растворителей, общепринятых для приготовления растворов и промывания окон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A69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кювет; особенно вредны сероуглерод и хлорированные углеводороды.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исследования твердых веществ применяют три основных метода:</w:t>
      </w:r>
    </w:p>
    <w:p w:rsid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исследование в суспензии;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исследование в таблетке с галогенидом щелочного металла;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исследование в пленке на поверхности окошка кюветы.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Пробоподготовкой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 всем выше перечисленным методам является сильное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измельчение образца, после чего последний либо 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диспергируют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инертном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растворителе, либо смешивают с предварительно обезвоженным галогенидом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щелочного металла и затем прессуют до образования таблетки, либо наносят смесь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вещества с растворителем на поверхность окошка кюветы и оставляют медленно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испаряться до образования прозрачной пленки постоянной толщины.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приготовления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суспензии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нуйол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- смесь высококипящих фракций нефти (на практике в качестве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заменителей можно с успехом использовать обычные вазелиновое и парафиновое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масла),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фторолаб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перфторкеросин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смесь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фторированных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углевод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ородов или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гексахлорбутадиен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E2217F" w:rsidRP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Таблетки имеют то преимущество перед взвесями, что в этом случае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концентрация, и толщина слоя легко определяются и таблетки можно, таким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образом, использовать для количественного анализа. Однако потери на рассеяние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здесь имеют место, а получить достаточно гомогенную дисперсную систему образца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всегда удается. Кроме того, галогениды щелочных металлов, используемые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приготовления таблеток, должны быть тщательно высушены, чтобы исключить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даже слабое поглощение их фона в области 3700 см-1 и 1600 см-1, обусловленное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гидроксилами воды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Главным преимуществом исследования растворов веществ является легкость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их приготовления, гомогенность системы и простота определения концентрации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толщины слоя. Как правило, для снятия ИК спектров используют кюветы,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изготовленные из водорастворимых солей (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KBr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KCl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NaCl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LiF</w:t>
      </w:r>
      <w:proofErr w:type="spellEnd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CaF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поэтому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приготовления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раствора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инертные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апротонные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(желательно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неполярные) растворители: CCl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4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CHCl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3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CS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C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Cl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4</w:t>
      </w:r>
      <w:r w:rsidRPr="00E2217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вазелиновое масло и т.д. </w:t>
      </w:r>
    </w:p>
    <w:p w:rsidR="00E2217F" w:rsidRDefault="00E2217F" w:rsidP="00E221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</w:p>
    <w:p w:rsidR="00D45AD1" w:rsidRDefault="00D45AD1" w:rsidP="00D45AD1">
      <w:pPr>
        <w:shd w:val="clear" w:color="auto" w:fill="FFFFFF"/>
        <w:spacing w:after="0" w:line="240" w:lineRule="auto"/>
        <w:ind w:firstLine="851"/>
        <w:jc w:val="both"/>
        <w:rPr>
          <w:noProof/>
          <w:lang w:eastAsia="ru-RU"/>
        </w:rPr>
      </w:pP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лица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Сильные полосы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оглощения растворителей и масел.</w:t>
      </w:r>
      <w:r>
        <w:rPr>
          <w:noProof/>
          <w:lang w:eastAsia="ru-RU"/>
        </w:rPr>
        <w:drawing>
          <wp:inline distT="0" distB="0" distL="0" distR="0" wp14:anchorId="3B0C1665" wp14:editId="2DB6C183">
            <wp:extent cx="5953125" cy="4846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2081" cy="48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D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35E79F3" wp14:editId="253EB90A">
            <wp:extent cx="6028429" cy="27368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87941" cy="276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D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2DE76A6" wp14:editId="4FDD2E0E">
            <wp:extent cx="5940425" cy="124333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AD1" w:rsidRDefault="00D45AD1" w:rsidP="00D45AD1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</w:p>
    <w:p w:rsidR="00D45AD1" w:rsidRPr="00D45AD1" w:rsidRDefault="00D45AD1" w:rsidP="00D45A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Основы спектроскопии ЯМР</w:t>
      </w:r>
    </w:p>
    <w:p w:rsidR="00D45AD1" w:rsidRPr="00D45AD1" w:rsidRDefault="00D45AD1" w:rsidP="00D45A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Спектроскопия ядерного магнитного резонанса (ЯМР) основана на свойстве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ядер некоторых атомов, находясь во внешнем магнитном поле, поглощать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излучение в диапазоне радиочастот. Т.е. происходит взаимодействие магнитной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составляющей внешнего электромагнитного поля с магнитным моментом ядер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атомов. Как и в случае других видов спектроскопии в основе ЯМР лежит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соотношение Бора (∆E = </w:t>
      </w:r>
      <w:proofErr w:type="spell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hν</w:t>
      </w:r>
      <w:proofErr w:type="spell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только изменение энергии в этом случае связано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магнитными свойствами ядер.</w:t>
      </w:r>
    </w:p>
    <w:p w:rsidR="00D45AD1" w:rsidRPr="00D45AD1" w:rsidRDefault="00D45AD1" w:rsidP="00D45A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известно, ядра атомов помимо массы и заряда характеризуются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собственным моментом или спином. В соответствии с представлениями квантовой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механики, ядерный спин квантован. Для описания числа дискретных значений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спинового момента (</w:t>
      </w:r>
      <w:proofErr w:type="spell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mI</w:t>
      </w:r>
      <w:proofErr w:type="spell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введено понятие спинового квантового числа (I). Спиновое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число определяет возможные ориентации вектора спинового момента </w:t>
      </w:r>
      <w:proofErr w:type="spell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mI</w:t>
      </w:r>
      <w:proofErr w:type="spell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 внешнем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однородном магнитном поле. Число таких ориентаций равно 2I + 1 Спиновое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квантовое число I может принимать целые и полуцелые значения, начиная с нуля: 0,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1/2, 1, 3/2, 2 и т.д. Ядра с четным числом протонов и нейтронов (четным атомным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номером и четной атомной массой) имеют спиновое квантовое число, равное нулю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(I = 0). К ним относят ядра атомов 12С, 16О, 28Si. Такие ядра имеют только одно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энергетическое состояние во внешнем электромагнитном поле (2·0 + 1 = 1) и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являются объектом исследования ЯМР спектроскопии.</w:t>
      </w:r>
    </w:p>
    <w:p w:rsidR="00D45AD1" w:rsidRDefault="00D45AD1" w:rsidP="00D45A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Ядра с нечетными числами протонов и нейтронов обладают целочисленным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спином (I = 1, </w:t>
      </w:r>
      <w:proofErr w:type="gram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2,..</w:t>
      </w:r>
      <w:proofErr w:type="gram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К ним относят, например, ядра атомов 63Li,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 N, 27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1D. Ядра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числами протонов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нейтронов различной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четности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обладают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полуцелыми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спиновыми числами (I = 1/2, 3/2, 5/</w:t>
      </w:r>
      <w:proofErr w:type="gram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2,..</w:t>
      </w:r>
      <w:proofErr w:type="gram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Все ядра с ненулевым моментом спина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имеют собственный магнитный момент </w:t>
      </w:r>
      <w:proofErr w:type="gram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 r</w:t>
      </w:r>
      <w:proofErr w:type="gram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µ ), вектор которого параллелен вектору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спинового момента I , и поэтому называются «магнитными». Для таких ядер связь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 магнитным и спиновым мо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ментами выражается соотношением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µ = </w:t>
      </w:r>
      <w:proofErr w:type="spell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ћγ</w:t>
      </w:r>
      <w:proofErr w:type="spellEnd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D45A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 ,</w:t>
      </w:r>
      <w:proofErr w:type="gramEnd"/>
      <w:r w:rsid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ћ = h/2π;</w:t>
      </w:r>
    </w:p>
    <w:p w:rsid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γ – ядерное гиромагнитное отношение (отношение магнитного момента ядра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его механическому моменту):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γ = q/(2mc), 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q – заряд ядра;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 – масса ядра;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– скорость света.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ядрах с I ≥ 1 распределение зарядов отличается от сферического, что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приводит к возникновению электрического квадрупольного момента, который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взаимодействует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соседними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зарядами.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благоприятные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спектроскопии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ЯМР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ядра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1/2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характеризующиеся высоким содержанием в природной смеси изотопов и большим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абсолютным значением гиромагнитного отношения. К таким ядрам относятся 1H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19F. Значительно ниже чувствительность для ЯМР 13C или 29Si из-за низкого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природного содержания и меньшего значения ядерного гиромагнитного отношения.</w:t>
      </w:r>
    </w:p>
    <w:p w:rsid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ядер с полуцелым спиновым числом возможны две ориентации 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внешнем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магнитном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параллельная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внешнему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spell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mI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=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+1/2)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антипараллельна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(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mI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= -1/2) (рисунок 6)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ED9096" wp14:editId="445C3D78">
            <wp:extent cx="3514725" cy="14954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Рисунок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 — Расщепление энергии ядер с полуцелым спином 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внешнем магнитном поле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Т.е. при помещении органического вещества в магнитное поле ядра атомов,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обладающие магнитным моментом, ориентируются осью вращения вдоль силовых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ядер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занимает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низшее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энергетическое состояние. При поглощении веществом радиочастотного излучения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энергией, равной энергетической разности уровней (∆E), происходит переход ядер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более высокий энергетический уровень, что сопровождается переориентацией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спина. Поглощенная энергия фиксируется на спектрограмме в виде пика.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разрешенных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частицы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экспериментально при поглощении или выделении кванта излучения. Различие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энергии двух ядерных спинов со спиновым числом 1/2 во внешнем магнитном поле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магнитной индукцией </w:t>
      </w:r>
      <w:proofErr w:type="gram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составляет</w:t>
      </w:r>
      <w:proofErr w:type="gramEnd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hν</w:t>
      </w:r>
      <w:proofErr w:type="spellEnd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= ∆E = </w:t>
      </w:r>
      <w:proofErr w:type="spell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γћB</w:t>
      </w:r>
      <w:proofErr w:type="spellEnd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основное уравнение ЯМР называют условием резонанса. Из этого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 следует взаимосвязь частоты электромагнитного излучения индукции:</w:t>
      </w:r>
    </w:p>
    <w:p w:rsidR="00F8339F" w:rsidRP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ν = </w:t>
      </w:r>
      <w:proofErr w:type="spell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γВ</w:t>
      </w:r>
      <w:proofErr w:type="spellEnd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/2π, </w:t>
      </w:r>
    </w:p>
    <w:p w:rsidR="00F8339F" w:rsidRDefault="00F8339F" w:rsidP="00F8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большим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атомов.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Кинетическая энергия движений и колебаний молекул на несколько порядков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превышает разность между ядерными энергетическими уровнями. При комнатной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температуре разность заселенностей составляет от 10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-5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10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-6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общего числа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магнитных ядер, что обусловливает чрезвычайно низкую чувствительность метода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ЯМР. При поглощении энергии электромагнитного излучения заселенности ядерных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уровней выравниваются (молекула переходит в возбужденное состояние), но через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некоторое время (доли секунды) происходит релаксация атомов с превращением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избыточной энергии ядерных спинов в энергию молекулярного движения (в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энергию решетки) и разница заселенностей вновь восстанавливается. Ядра с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полуцелым спиновым квантовым числом обладают временем спин-решетчатой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релаксации достаточным для формирования узких линий спектра. Ядра с </w:t>
      </w:r>
      <w:proofErr w:type="gramStart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 &gt;</w:t>
      </w:r>
      <w:proofErr w:type="gramEnd"/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½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обладают квадрупольным моментом, что ускоряет процесс переноса энергии и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сокращает время релаксации. Слишком малое время релаксации способствует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уширению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сигналов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поглощения,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нежелательно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спектрах</w:t>
      </w:r>
      <w:r w:rsid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833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высокого</w:t>
      </w:r>
      <w:r w:rsidR="003E26A7" w:rsidRPr="003E26A7">
        <w:t xml:space="preserve"> </w:t>
      </w:r>
      <w:r w:rsidR="003E26A7"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разрешения. </w:t>
      </w:r>
    </w:p>
    <w:p w:rsidR="003E26A7" w:rsidRPr="003E26A7" w:rsidRDefault="003E26A7" w:rsidP="003E2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Соседство магнитных ядер друг с другом, а также электронное окружение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приводит к искажению эффективной индукции внешнего магнитного поля.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результате резонансные частоты ЯМР сдвигаются в область более сильного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более слабого магнитного поля (в зависимости от окружения магнитного ядра), что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дает возможность получить очень подробную информацию о строении молекулы.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Такое явление было названо химическим сдвигом. В постоянном магнитном поле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электроны атома создают вторичное магнитное поле, направленное вблизи ядра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 внешнего, и, таким образом, экранируют ядро. Направление и величина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вторичного магнитного поля зависят от строения молекулы (электронных эффектов)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ориентации молекулы относительно внешнего поля. Можно считать, что величина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экранирования любого ядра слагается из трех различных составляющих:</w:t>
      </w:r>
    </w:p>
    <w:p w:rsidR="003E26A7" w:rsidRPr="003E26A7" w:rsidRDefault="003E26A7" w:rsidP="003E26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диамагнитного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экранирования,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обусловленного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электронной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плотностью того же атома, ядро которого рассматривается. Здесь оказывают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влияние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электронные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эффекты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стороны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ближайших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заместителей.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Положительные электронные эффекты по отношению к магнитному атому (1H или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13С) способствуют увеличению электронной плотности вокруг атома и смещению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сигнала в область сильного внешнего поля;</w:t>
      </w:r>
    </w:p>
    <w:p w:rsidR="003E26A7" w:rsidRPr="003E26A7" w:rsidRDefault="003E26A7" w:rsidP="003E26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парамагнитного </w:t>
      </w:r>
      <w:proofErr w:type="spellStart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дезэкранирования</w:t>
      </w:r>
      <w:proofErr w:type="spellEnd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обусловленного парамагнитными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токами в том же атоме в возбужденном состоянии. Для легких ядер (1H или 13С) этот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вклад в общее экранирование при возрастании электронной плотности вокруг атома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достаточно мал, но для тяжелых ядер он может стать основным;</w:t>
      </w:r>
    </w:p>
    <w:p w:rsidR="003E26A7" w:rsidRDefault="003E26A7" w:rsidP="003E26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комбинированного влияния диамагнитных и парамагнитных токов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соседних атомов. Это эффект достигает наибольшей величины, если электроны на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ближайшем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соседнем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атоме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имеют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большую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анизотропную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магнитную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восприимчивость. Особенно важен этот эффект для циклических ароматических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 при возникновении кольцевого тока.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 Протонный парамагнитный резонанс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Протонный парамагнитный резонанс (ПМР) – разновидность ЯМР на ядрах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изотопа водорода 1H. ПМР нашло широкое применение в органической химии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инстр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ументальный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применяемый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строения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углеводородного скелета молекулы и положения функциональных групп.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Число сигналов в спектре ПМР дает информацию о том, сколько групп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эквивалентных протонов (или сколько «типов» протонов) имеется в молекуле.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Магнитно-эквивалентные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протоны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химически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стереохимически</w:t>
      </w:r>
      <w:proofErr w:type="spellEnd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эквивалентные ядра. Т.е. для эквивалентных протонов характерно одинаковое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экранирование за счет одинакового электронного окружения или геометрического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положения. Так, например, в молекуле этанола различают 3 группы протонов 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</w:t>
      </w:r>
      <w:proofErr w:type="spellStart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метильной</w:t>
      </w:r>
      <w:proofErr w:type="spellEnd"/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группы,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метиленовой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группы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гидроксила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отличающиеся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электронным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окружением.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Количественной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характеристикой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степени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экранирования ядер является химический сдвиг (δ). Химический сдвиг представляет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собой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относительную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величину,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показывающую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отклонение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частоты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электромагнитной волны, поглощенной данным веществом, от эталона. Химический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сдвиг рассчитывается по формуле: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δ = (ν – ν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эталона)·</w:t>
      </w:r>
      <w:proofErr w:type="gramEnd"/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6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/ν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0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ν – резонансная частота протона исследуемого вещества;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νэталона</w:t>
      </w:r>
      <w:proofErr w:type="spellEnd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резонансная частота протонов эталона;</w:t>
      </w:r>
    </w:p>
    <w:p w:rsidR="003E26A7" w:rsidRPr="003E26A7" w:rsidRDefault="003E26A7" w:rsidP="003E26A7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ν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0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рабочая частота генератора.</w:t>
      </w:r>
    </w:p>
    <w:p w:rsidR="003E26A7" w:rsidRPr="003E26A7" w:rsidRDefault="003E26A7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Химические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сдвиги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сигналов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протонов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большинства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органических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соединений находятся в интервале от 0 до 10 </w:t>
      </w:r>
      <w:proofErr w:type="spellStart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м.д</w:t>
      </w:r>
      <w:proofErr w:type="spellEnd"/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(миллионных долей). Интервалы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химических сдвигов протонов различных ф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ункциональных групп в виде таблиц.</w:t>
      </w:r>
    </w:p>
    <w:p w:rsidR="005B7702" w:rsidRPr="005B7702" w:rsidRDefault="003E26A7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качестве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эталона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применяют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соединения,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E2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содержащие один протон или группу эквивалентных протонов, поглощающих в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сильном электромагнитном поле. Это могут быть следующие вещества: хлороформ,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циклогексан, бензол, </w:t>
      </w:r>
      <w:proofErr w:type="spellStart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гексаметилдисилоксан</w:t>
      </w:r>
      <w:proofErr w:type="spellEnd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диоксан</w:t>
      </w:r>
      <w:proofErr w:type="spellEnd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вода, </w:t>
      </w:r>
      <w:proofErr w:type="spellStart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тетраметилсилан</w:t>
      </w:r>
      <w:proofErr w:type="spellEnd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</w:t>
      </w:r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настоящее время в качестве международного стандарта выбран </w:t>
      </w:r>
      <w:proofErr w:type="spellStart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тетраметилсилан</w:t>
      </w:r>
      <w:proofErr w:type="spellEnd"/>
      <w:r w:rsid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((СН3)4Si). Для ТМС (</w:t>
      </w:r>
      <w:proofErr w:type="spellStart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тетраметилсилана</w:t>
      </w:r>
      <w:proofErr w:type="spellEnd"/>
      <w:r w:rsidR="005B7702"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химический сдвиг принят за 0</w:t>
      </w:r>
    </w:p>
    <w:p w:rsidR="005B7702" w:rsidRPr="005B7702" w:rsidRDefault="005B7702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значения химических сдвигов существенное влияние оказывают соседние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 и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группы. </w:t>
      </w:r>
      <w:proofErr w:type="spellStart"/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Электронодонорные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увеличивают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плотность вокруг протона и смещают сигнал в сильное поле. Электроноакцепторные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наоборот, </w:t>
      </w:r>
      <w:proofErr w:type="spellStart"/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дезэкранируют</w:t>
      </w:r>
      <w:proofErr w:type="spellEnd"/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протон и сдвигают сигнал в слабое поле. Однако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некоторых соединений наблюдаются существенные отклонения от этой зависимости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значительного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влияния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кольцевых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токов,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возникают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ненасыщенных группировках (особенно в ароматических системах и соединениях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тройной связью). Такие поля могут как </w:t>
      </w:r>
      <w:proofErr w:type="spellStart"/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дезэкранировать</w:t>
      </w:r>
      <w:proofErr w:type="spellEnd"/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протоны (ароматические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соединения), так и экранировать их (соединения с тройной связью).</w:t>
      </w:r>
    </w:p>
    <w:p w:rsidR="003E26A7" w:rsidRDefault="005B7702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Большое значение для решения структурных задач имеет интенсивность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сигнала, которая определяется площадью под резонансной кривой и является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величиной, прямо пропорциональной числу протонов, вызывающих сигнал. В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спектре ПМР интенсивность записывается в виде восходящей ступенчатой кривой,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каждая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ступень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которой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имеет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высоту,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пропорциональную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площади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соответствующего сигнала (рисунок 7). Отношение высот ступеней показывает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соотношение кол</w:t>
      </w:r>
      <w:r w:rsid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ичеств протонов различных типов</w:t>
      </w:r>
      <w:r w:rsidRPr="005B7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A6166" w:rsidRDefault="002A6166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B330C0" wp14:editId="2BA54C68">
            <wp:extent cx="5334000" cy="2409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66" w:rsidRDefault="002A6166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Единицей химического сдвига обычно служит одна миллионная доля (м. д.). </w:t>
      </w:r>
    </w:p>
    <w:p w:rsidR="002A6166" w:rsidRDefault="002A6166" w:rsidP="005B7702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A6166" w:rsidRPr="002A6166" w:rsidRDefault="002A6166" w:rsidP="002A6166">
      <w:pPr>
        <w:pStyle w:val="a3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одной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(расщепленность) сигнала ПМР. Протоны одного типа, достаточно удаленные 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других протонов в молекуле, дают резонансный сигнал в виде узкого пика с одни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максимумом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(синглет).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типов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(имеющие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электронное окружение или геометрическое положение) разделены двумя </w:t>
      </w:r>
      <w:r w:rsidR="00DB73A0">
        <w:rPr>
          <w:noProof/>
          <w:lang w:eastAsia="ru-RU"/>
        </w:rPr>
        <w:drawing>
          <wp:inline distT="0" distB="0" distL="0" distR="0" wp14:anchorId="4A0BBAEB" wp14:editId="7BC43A1E">
            <wp:extent cx="828675" cy="4572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тремя </w:t>
      </w:r>
      <w:r w:rsidR="00DB73A0">
        <w:rPr>
          <w:noProof/>
          <w:lang w:eastAsia="ru-RU"/>
        </w:rPr>
        <w:drawing>
          <wp:inline distT="0" distB="0" distL="0" distR="0" wp14:anchorId="37EC45F1" wp14:editId="6C5132D9">
            <wp:extent cx="781050" cy="4857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ковалентными связями, то резонансный сигнал расщепляется на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ряд пиков различной высоты, расположенных на равном расстоянии друг от друга.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Такой сигнал называют мультиплетом, а взаимодействие ядер – спин-спиновым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взаимодействием. Спин-спиновое взаимодействие обусловлено взаимным влиянием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магнитных полей соседних протонов. Расстояние между ближайшими линиями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мультиплета измеряется в герцах и носит название константы спин-спинового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взаимодействия (J). Константа спин-спинового взаимодействия зависит от природы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химической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связи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пространственного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расположения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взаимодействующих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протонов,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позволяет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применять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спектроскопию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ПМР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изучения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стереох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имических особенностей молекулы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A6166" w:rsidRPr="002A6166" w:rsidRDefault="002A6166" w:rsidP="002A6166">
      <w:pPr>
        <w:pStyle w:val="a3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Мультиплетность сигнала зависит от количества соседних (отличных по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электронному окружению) протонов и определяется по формуле:</w:t>
      </w:r>
    </w:p>
    <w:p w:rsidR="002A6166" w:rsidRPr="002A6166" w:rsidRDefault="002A6166" w:rsidP="002A6166">
      <w:pPr>
        <w:pStyle w:val="a3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 = n + 1, </w:t>
      </w:r>
    </w:p>
    <w:p w:rsidR="002A6166" w:rsidRPr="002A6166" w:rsidRDefault="002A6166" w:rsidP="002A6166">
      <w:pPr>
        <w:pStyle w:val="a3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n – количество соседних протонов.</w:t>
      </w:r>
    </w:p>
    <w:p w:rsidR="002A6166" w:rsidRPr="003E26A7" w:rsidRDefault="002A6166" w:rsidP="00DB73A0">
      <w:pPr>
        <w:pStyle w:val="a3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расщепление сигнала вызвано спин-спиновым взаимодействием с двумя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более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группами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неэквивалентных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протонов,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мультиплетность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сигнала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определяется произведением </w:t>
      </w:r>
      <w:proofErr w:type="spellStart"/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мультиплетностей</w:t>
      </w:r>
      <w:proofErr w:type="spellEnd"/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обусловленных каждой из этих</w:t>
      </w:r>
      <w:r w:rsidR="00DB73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 в отдельности</w:t>
      </w:r>
      <w:bookmarkStart w:id="0" w:name="_GoBack"/>
      <w:bookmarkEnd w:id="0"/>
      <w:r w:rsidRPr="002A61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sectPr w:rsidR="002A6166" w:rsidRPr="003E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E2A1F"/>
    <w:multiLevelType w:val="hybridMultilevel"/>
    <w:tmpl w:val="BF8C0FE0"/>
    <w:lvl w:ilvl="0" w:tplc="26F02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5A1346"/>
    <w:multiLevelType w:val="hybridMultilevel"/>
    <w:tmpl w:val="1932D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76"/>
    <w:rsid w:val="00091789"/>
    <w:rsid w:val="00152278"/>
    <w:rsid w:val="00180420"/>
    <w:rsid w:val="001A6945"/>
    <w:rsid w:val="001C17CE"/>
    <w:rsid w:val="002370CD"/>
    <w:rsid w:val="00245F0B"/>
    <w:rsid w:val="00262595"/>
    <w:rsid w:val="002A6166"/>
    <w:rsid w:val="003E26A7"/>
    <w:rsid w:val="003E6320"/>
    <w:rsid w:val="00427DB3"/>
    <w:rsid w:val="00581EDB"/>
    <w:rsid w:val="005B7702"/>
    <w:rsid w:val="00655431"/>
    <w:rsid w:val="00824F83"/>
    <w:rsid w:val="00891F92"/>
    <w:rsid w:val="00987976"/>
    <w:rsid w:val="00A062E5"/>
    <w:rsid w:val="00AD0553"/>
    <w:rsid w:val="00D45AD1"/>
    <w:rsid w:val="00DB3F5F"/>
    <w:rsid w:val="00DB73A0"/>
    <w:rsid w:val="00E2217F"/>
    <w:rsid w:val="00F0428D"/>
    <w:rsid w:val="00F8339F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6B73"/>
  <w15:chartTrackingRefBased/>
  <w15:docId w15:val="{5309B13E-B23E-4ACF-97B6-F3F8937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u.wikipedia.org/wiki/%D0%9C%D0%B5%D1%85%D0%B0%D0%BD%D0%B8%D1%87%D0%B5%D1%81%D0%BA%D0%B0%D1%8F_%D1%81%D0%B8%D1%81%D1%82%D0%B5%D0%BC%D0%B0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image" Target="media/image3.png"/><Relationship Id="rId12" Type="http://schemas.openxmlformats.org/officeDocument/2006/relationships/hyperlink" Target="https://ru.wikipedia.org/wiki/%D0%9A%D0%BB%D0%B0%D1%81%D1%81%D0%B8%D1%87%D0%B5%D1%81%D0%BA%D0%B0%D1%8F_%D0%BC%D0%B5%D1%85%D0%B0%D0%BD%D0%B8%D0%BA%D0%B0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A1%D0%B8%D0%BB%D0%B0_(%D1%84%D0%B8%D0%B7%D0%B8%D1%87%D0%B5%D1%81%D0%BA%D0%B0%D1%8F_%D0%B2%D0%B5%D0%BB%D0%B8%D1%87%D0%B8%D0%BD%D0%B0)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ru.wikipedia.org/wiki/%D0%9C%D0%B5%D1%85%D0%B0%D0%BD%D0%B8%D1%87%D0%B5%D1%81%D0%BA%D0%BE%D0%B5_%D1%80%D0%B0%D0%B2%D0%BD%D0%BE%D0%B2%D0%B5%D1%81%D0%B8%D0%B5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1</cp:revision>
  <dcterms:created xsi:type="dcterms:W3CDTF">2023-04-10T08:43:00Z</dcterms:created>
  <dcterms:modified xsi:type="dcterms:W3CDTF">2023-04-10T14:00:00Z</dcterms:modified>
</cp:coreProperties>
</file>