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772B" w14:textId="417DD48F" w:rsidR="00264B24" w:rsidRPr="00264B24" w:rsidRDefault="00264B24" w:rsidP="00264B24">
      <w:pPr>
        <w:shd w:val="clear" w:color="auto" w:fill="FFFFFF"/>
        <w:spacing w:line="345" w:lineRule="atLeast"/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</w:pPr>
      <w:r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  <w:t xml:space="preserve">Выдержка из документа: </w:t>
      </w:r>
      <w:hyperlink r:id="rId4" w:history="1">
        <w:r w:rsidRPr="00264B24">
          <w:rPr>
            <w:rFonts w:ascii="PT Sans" w:eastAsia="Times New Roman" w:hAnsi="PT Sans" w:cs="Times New Roman"/>
            <w:b/>
            <w:bCs/>
            <w:color w:val="1A0DAB"/>
            <w:sz w:val="27"/>
            <w:szCs w:val="27"/>
            <w:u w:val="single"/>
            <w:lang w:eastAsia="ru-RU"/>
          </w:rPr>
          <w:t>"Методические рекомендации "Организация оказания медицинской помощи беременным, роженицам, родильницам и новорожденным при новой коронавирусной инфекции COVID-19. Версия 5 (28.12.2021)" (утв. Минздравом России)</w:t>
        </w:r>
      </w:hyperlink>
    </w:p>
    <w:p w14:paraId="0D128005" w14:textId="77777777" w:rsidR="00264B24" w:rsidRPr="00264B24" w:rsidRDefault="00264B24" w:rsidP="00264B2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proofErr w:type="spellStart"/>
      <w:r w:rsidRPr="00264B24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Глюкокортикостероиды</w:t>
      </w:r>
      <w:proofErr w:type="spellEnd"/>
    </w:p>
    <w:p w14:paraId="19C5F9AA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Промежуточные результаты исследования RECOVERY </w:t>
      </w:r>
      <w:hyperlink r:id="rId5" w:anchor="dst100958" w:history="1">
        <w:r w:rsidRPr="00264B2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[69]</w:t>
        </w:r>
      </w:hyperlink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показали значительное снижение смертности спустя 28-дней у больных COVID-19, нуждающихся в кислородной поддержке, которые получали терапию ГКС.</w:t>
      </w:r>
    </w:p>
    <w:p w14:paraId="5B07AAED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Терапия ГКС должна быть назначена беременным, нуждающимся в кислородной поддержке или ИВЛ, в течение 10 дней [</w:t>
      </w:r>
      <w:hyperlink r:id="rId6" w:anchor="dst100959" w:history="1">
        <w:r w:rsidRPr="00264B2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70</w:t>
        </w:r>
      </w:hyperlink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 </w:t>
      </w:r>
      <w:hyperlink r:id="rId7" w:anchor="dst100960" w:history="1">
        <w:r w:rsidRPr="00264B2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71</w:t>
        </w:r>
      </w:hyperlink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]. Режим дозирования:</w:t>
      </w:r>
    </w:p>
    <w:p w14:paraId="50351A77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Если нет показаний для назначения ГКС для созревания легких плода, преднизолон 40 мг принимают внутрь 1 раз в день или гидрокортизон 80 мг 2 раза в день внутривенно.</w:t>
      </w:r>
    </w:p>
    <w:p w14:paraId="2045354D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Если терапию ГКС необходимо назначить для созревания легких плода, дексаметазон назначают по схеме внутримышечно в дозе 6 мг 4 раза с интервалом 12 часов или в дозе 8 мг 3 раза с интервалом 8 часов (суммарная доза 24 мг) в соответствии с клиническими </w:t>
      </w:r>
      <w:hyperlink r:id="rId8" w:anchor="dst100368" w:history="1">
        <w:r w:rsidRPr="00264B2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рекомендациями</w:t>
        </w:r>
      </w:hyperlink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"Преждевременные роды" </w:t>
      </w:r>
      <w:hyperlink r:id="rId9" w:anchor="dst100961" w:history="1">
        <w:r w:rsidRPr="00264B2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[72]</w:t>
        </w:r>
      </w:hyperlink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далее переходят на пероральный прием преднизолона 40 мг 1 раз в день или гидрокортизон 80 мг 2 раза в день внутривенно </w:t>
      </w:r>
      <w:hyperlink r:id="rId10" w:anchor="dst100907" w:history="1">
        <w:r w:rsidRPr="00264B2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[18]</w:t>
        </w:r>
      </w:hyperlink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A1A9E4C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10-дневный курс стероидов не требует их постепенного снижения дозы.</w:t>
      </w:r>
    </w:p>
    <w:p w14:paraId="0A377C7D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Из-за риска гипергликемии у женщины показано проведение тщательного мониторинга уровня глюкозы </w:t>
      </w:r>
      <w:hyperlink r:id="rId11" w:anchor="dst100963" w:history="1">
        <w:r w:rsidRPr="00264B2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[74]</w:t>
        </w:r>
      </w:hyperlink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 </w:t>
      </w:r>
      <w:hyperlink r:id="rId12" w:anchor="dst100964" w:history="1">
        <w:r w:rsidRPr="00264B2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[75]</w:t>
        </w:r>
      </w:hyperlink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DAF87B4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Применение ГКС должно быть в сочетании с антикоагулянтной терапией низкомолекулярными гепаринами (НМГ).</w:t>
      </w:r>
    </w:p>
    <w:p w14:paraId="21F5B206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Дексаметазон значительно проникает через плацентарный барьер по сравнению с другими ГКС, поэтому его длительное применение может привести к неблагоприятному воздействию на плод. Напротив, другие ГКС такие, как </w:t>
      </w:r>
      <w:proofErr w:type="spellStart"/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метилпреднизолон</w:t>
      </w:r>
      <w:proofErr w:type="spellEnd"/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гидрокортизон, имеют меньшее стероидное влияние на плод, поэтому могут быть назначены в качестве альтернативного лечения для матери.</w:t>
      </w:r>
    </w:p>
    <w:p w14:paraId="69BB5B68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Возможно использование дексаметазона в дозировке 6 мг в сутки в течение 10 дней в послеродовом периоде.</w:t>
      </w:r>
    </w:p>
    <w:p w14:paraId="53AE8CB5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ГКС необходимо применять с осторожностью при:</w:t>
      </w:r>
    </w:p>
    <w:p w14:paraId="6A58D31E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Сахарном диабете.</w:t>
      </w:r>
    </w:p>
    <w:p w14:paraId="6CA81E28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Гипертонической болезни.</w:t>
      </w:r>
    </w:p>
    <w:p w14:paraId="0899D2D4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Язвенной болезни желудка и 12-перстной кишки.</w:t>
      </w:r>
    </w:p>
    <w:p w14:paraId="1039D0E1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Ожирении.</w:t>
      </w:r>
    </w:p>
    <w:p w14:paraId="150F149E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Признаках активной бактериальной инфекции.</w:t>
      </w:r>
    </w:p>
    <w:p w14:paraId="7E96B2CF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Тромботических нарушениях.</w:t>
      </w:r>
    </w:p>
    <w:p w14:paraId="76569EFD" w14:textId="77777777" w:rsidR="00264B24" w:rsidRPr="00264B24" w:rsidRDefault="00264B24" w:rsidP="00264B2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Основными критериями эффективности противовоспалительной терапии являются динамика клинического ответа: снижение уровня лихорадки, улучшение самочувствия, появление аппетита, уменьшение одышки, повышение SpO</w:t>
      </w:r>
      <w:r w:rsidRPr="00264B24">
        <w:rPr>
          <w:rFonts w:ascii="Times New Roman" w:eastAsia="Times New Roman" w:hAnsi="Times New Roman" w:cs="Times New Roman"/>
          <w:color w:val="000000"/>
          <w:sz w:val="23"/>
          <w:szCs w:val="23"/>
          <w:vertAlign w:val="subscript"/>
          <w:lang w:eastAsia="ru-RU"/>
        </w:rPr>
        <w:t>2</w:t>
      </w:r>
      <w:r w:rsidRPr="00264B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40C566C" w14:textId="1350462D" w:rsidR="00C33E32" w:rsidRDefault="00C33E32"/>
    <w:p w14:paraId="09A0D6C3" w14:textId="288803C6" w:rsidR="00264B24" w:rsidRDefault="00264B24">
      <w:r w:rsidRPr="00264B24">
        <w:t>https://www.consultant.ru/document/cons_doc_LAW_351216/</w:t>
      </w:r>
    </w:p>
    <w:sectPr w:rsidR="0026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24"/>
    <w:rsid w:val="00196246"/>
    <w:rsid w:val="00264B24"/>
    <w:rsid w:val="00702186"/>
    <w:rsid w:val="00C33E32"/>
    <w:rsid w:val="00F1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EF0F"/>
  <w15:chartTrackingRefBased/>
  <w15:docId w15:val="{622F3E9C-BDF7-4739-BECB-866D57D8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B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5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69727/bd93b50d5c910824be2b5e78126c6607cc34ba9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05100/812e3fdfa9cf163771ec7a86506d4a5502e57fac/" TargetMode="External"/><Relationship Id="rId12" Type="http://schemas.openxmlformats.org/officeDocument/2006/relationships/hyperlink" Target="https://www.consultant.ru/document/cons_doc_LAW_405100/812e3fdfa9cf163771ec7a86506d4a5502e57fa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05100/812e3fdfa9cf163771ec7a86506d4a5502e57fac/" TargetMode="External"/><Relationship Id="rId11" Type="http://schemas.openxmlformats.org/officeDocument/2006/relationships/hyperlink" Target="https://www.consultant.ru/document/cons_doc_LAW_405100/812e3fdfa9cf163771ec7a86506d4a5502e57fac/" TargetMode="External"/><Relationship Id="rId5" Type="http://schemas.openxmlformats.org/officeDocument/2006/relationships/hyperlink" Target="https://www.consultant.ru/document/cons_doc_LAW_405100/812e3fdfa9cf163771ec7a86506d4a5502e57fac/" TargetMode="External"/><Relationship Id="rId10" Type="http://schemas.openxmlformats.org/officeDocument/2006/relationships/hyperlink" Target="https://www.consultant.ru/document/cons_doc_LAW_405100/812e3fdfa9cf163771ec7a86506d4a5502e57fac/" TargetMode="External"/><Relationship Id="rId4" Type="http://schemas.openxmlformats.org/officeDocument/2006/relationships/hyperlink" Target="https://www.consultant.ru/document/cons_doc_LAW_351216/" TargetMode="External"/><Relationship Id="rId9" Type="http://schemas.openxmlformats.org/officeDocument/2006/relationships/hyperlink" Target="https://www.consultant.ru/document/cons_doc_LAW_405100/812e3fdfa9cf163771ec7a86506d4a5502e57fa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2024-03-10T21:06:00Z</dcterms:created>
  <dcterms:modified xsi:type="dcterms:W3CDTF">2024-03-10T21:08:00Z</dcterms:modified>
</cp:coreProperties>
</file>