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9D35E0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Технологическая карта электронного учебного курса для организации самостоятельной работы обучающегося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9D35E0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при освоении факультативной дисциплины «Грамматика русского языка» (2 семестр)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 xml:space="preserve">для </w:t>
      </w:r>
      <w:proofErr w:type="gramStart"/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обучающихся</w:t>
      </w:r>
      <w:proofErr w:type="gramEnd"/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 xml:space="preserve"> 2025 года поступления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 xml:space="preserve">по образовательной программе 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33.05.01 Фармация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профиль Фармация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специалитет</w:t>
      </w:r>
      <w:proofErr w:type="spellEnd"/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форма обучения очная</w:t>
      </w:r>
    </w:p>
    <w:p w:rsidR="009D35E0" w:rsidRDefault="009D35E0" w:rsidP="009D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35E0">
        <w:rPr>
          <w:rFonts w:ascii="Times New Roman" w:eastAsia="Times New Roman" w:hAnsi="Times New Roman" w:cs="Times New Roman"/>
          <w:b/>
          <w:sz w:val="20"/>
          <w:szCs w:val="20"/>
        </w:rPr>
        <w:t>2025-2026 учебный год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</w:pP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</w:pPr>
      <w:r w:rsidRPr="009D35E0"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  <w:t>Technological map of the electronic training course for organizing independent work of the student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</w:pPr>
      <w:proofErr w:type="gramStart"/>
      <w:r w:rsidRPr="009D35E0"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  <w:t>in</w:t>
      </w:r>
      <w:proofErr w:type="gramEnd"/>
      <w:r w:rsidRPr="009D35E0"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  <w:t xml:space="preserve"> the elective "Grammar of the Russian language" (1 semester)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for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students 2025 admission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under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educational program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33. 05.01 Pharmacy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,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Pharmacy profile,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specialty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full-time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form of education</w:t>
      </w:r>
    </w:p>
    <w:p w:rsidR="009D35E0" w:rsidRDefault="009D35E0" w:rsidP="009D3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>for</w:t>
      </w:r>
      <w:proofErr w:type="gramEnd"/>
      <w:r w:rsidRPr="009D3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2025-2026 academic year</w:t>
      </w:r>
    </w:p>
    <w:p w:rsidR="009D35E0" w:rsidRPr="009D35E0" w:rsidRDefault="009D35E0" w:rsidP="009D35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874"/>
        <w:gridCol w:w="1559"/>
        <w:gridCol w:w="3685"/>
        <w:gridCol w:w="1560"/>
        <w:gridCol w:w="1417"/>
        <w:gridCol w:w="992"/>
        <w:gridCol w:w="2694"/>
      </w:tblGrid>
      <w:tr w:rsidR="009D35E0" w:rsidRPr="009D35E0" w:rsidTr="00E11D01">
        <w:tc>
          <w:tcPr>
            <w:tcW w:w="495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№</w:t>
            </w:r>
          </w:p>
        </w:tc>
        <w:tc>
          <w:tcPr>
            <w:tcW w:w="2874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Наименование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раздела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СРО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/</w:t>
            </w:r>
          </w:p>
          <w:p w:rsidR="009D35E0" w:rsidRPr="009D35E0" w:rsidRDefault="009D35E0" w:rsidP="009D3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Title of the section of the SW</w:t>
            </w:r>
          </w:p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Части раздела/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Section parts</w:t>
            </w:r>
          </w:p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 </w:t>
            </w:r>
          </w:p>
        </w:tc>
        <w:tc>
          <w:tcPr>
            <w:tcW w:w="3685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Структурные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элементы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частей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раздела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/ Structural elements of the sections</w:t>
            </w:r>
          </w:p>
          <w:p w:rsidR="009D35E0" w:rsidRPr="009D35E0" w:rsidRDefault="009D35E0" w:rsidP="009D35E0">
            <w:pPr>
              <w:jc w:val="center"/>
              <w:rPr>
                <w:rFonts w:eastAsiaTheme="minorHAnsi"/>
                <w:i/>
                <w:iCs/>
                <w:color w:val="808080" w:themeColor="text1" w:themeTint="7F"/>
                <w:lang w:val="en-US" w:eastAsia="en-US"/>
              </w:rPr>
            </w:pPr>
          </w:p>
        </w:tc>
        <w:tc>
          <w:tcPr>
            <w:tcW w:w="1560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Нормирование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трудоемкости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элементов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/ Standardization of labor intens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i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ty of elements</w:t>
            </w:r>
          </w:p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417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Кол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-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во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акад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.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часов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,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выд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ляемых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на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освоение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элемента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/ Number of academic hours alloca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t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ed for maste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r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ing an element</w:t>
            </w:r>
          </w:p>
        </w:tc>
        <w:tc>
          <w:tcPr>
            <w:tcW w:w="992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Итого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кол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-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во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ак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.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ч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./ Total number of ac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a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>demic hours</w:t>
            </w:r>
          </w:p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2694" w:type="dxa"/>
          </w:tcPr>
          <w:p w:rsidR="009D35E0" w:rsidRPr="009D35E0" w:rsidRDefault="009D35E0" w:rsidP="009D35E0">
            <w:pPr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Результаты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proofErr w:type="gram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обучения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по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дисциплине</w:t>
            </w:r>
            <w:proofErr w:type="gram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в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части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осво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е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ния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val="en-US" w:eastAsia="en-US"/>
              </w:rPr>
              <w:t xml:space="preserve"> ЭУК СРО/ Results of training in the discipline in terms of mastering the ETC IW or course</w:t>
            </w:r>
          </w:p>
        </w:tc>
      </w:tr>
      <w:tr w:rsidR="009D35E0" w:rsidRPr="009D35E0" w:rsidTr="00E11D01">
        <w:tc>
          <w:tcPr>
            <w:tcW w:w="495" w:type="dxa"/>
            <w:shd w:val="clear" w:color="auto" w:fill="C6D9F1" w:themeFill="text2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4781" w:type="dxa"/>
            <w:gridSpan w:val="7"/>
            <w:shd w:val="clear" w:color="auto" w:fill="C6D9F1" w:themeFill="text2" w:themeFillTint="33"/>
          </w:tcPr>
          <w:p w:rsidR="009D35E0" w:rsidRPr="009D35E0" w:rsidRDefault="009D35E0" w:rsidP="009D35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Русская фонетика и коммуникация (Модуль 1)</w:t>
            </w:r>
          </w:p>
        </w:tc>
      </w:tr>
      <w:tr w:rsidR="009D35E0" w:rsidRPr="009D35E0" w:rsidTr="00E11D01">
        <w:tc>
          <w:tcPr>
            <w:tcW w:w="49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74" w:type="dxa"/>
            <w:vMerge w:val="restart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Содержательный раздел: / </w:t>
            </w:r>
            <w:proofErr w:type="spellStart"/>
            <w:proofErr w:type="gram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</w:t>
            </w:r>
            <w:proofErr w:type="gram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ontent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section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Тема 1.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Выражение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ветствия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прощания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 / Expressions of greeting</w:t>
            </w:r>
            <w:r w:rsidRPr="009D35E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,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of farewell.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br/>
            </w:r>
            <w:r w:rsidRPr="009D35E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Pr="009D35E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Знакомство. Представление. 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Acquaintance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Introduction</w:t>
            </w:r>
            <w:proofErr w:type="spellEnd"/>
          </w:p>
        </w:tc>
        <w:tc>
          <w:tcPr>
            <w:tcW w:w="1559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Теоретическая часть/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Theoretical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part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Выражение приветствия и прощания 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Expressing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greetings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farewells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Формулы знакомства 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Dating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formulas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до 1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</w:tcPr>
          <w:p w:rsidR="009D35E0" w:rsidRPr="009D35E0" w:rsidRDefault="009D35E0" w:rsidP="009D35E0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УК-4.2.1. Умеет создавать на русском и иностранном языках письменные тексты научного и официально-делового стилей речи по профессиональным вопр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сам; исследовать прохожд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информации по упра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ленческим коммуникациям; определять внутренние коммуникации в организ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ции</w:t>
            </w:r>
          </w:p>
          <w:p w:rsidR="009D35E0" w:rsidRDefault="009D35E0" w:rsidP="009D35E0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У-1. Умеет создавать на 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русском языке письменные тексты с учетом професси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нальной лексики в объеме изученного лексико-грамматического материала;</w:t>
            </w:r>
          </w:p>
          <w:p w:rsidR="009D35E0" w:rsidRPr="009D35E0" w:rsidRDefault="009D35E0" w:rsidP="009D35E0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ПК-3.1.1. Знает методол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гию оказания информац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онно-консультационной помощи посетителям </w:t>
            </w:r>
            <w:proofErr w:type="gramStart"/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ап-</w:t>
            </w:r>
            <w:proofErr w:type="spellStart"/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течной</w:t>
            </w:r>
            <w:proofErr w:type="spellEnd"/>
            <w:proofErr w:type="gramEnd"/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организации при выборе лекарственных пр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паратов и других товаров аптечного ассорти-мента, а также по вопросам их рац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онального применения, с учетом биофармацевтич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ских особенностей лека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ственных форм.</w:t>
            </w:r>
          </w:p>
          <w:p w:rsidR="009D35E0" w:rsidRPr="009D35E0" w:rsidRDefault="009D35E0" w:rsidP="009D35E0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З-1 - языковой материал в рамках разных видов реч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D35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вой деятельности в устной и письменной форме с учетом изученного лексико-грамматического материала</w:t>
            </w:r>
          </w:p>
        </w:tc>
      </w:tr>
      <w:tr w:rsidR="009D35E0" w:rsidRPr="009D35E0" w:rsidTr="00E11D01">
        <w:tc>
          <w:tcPr>
            <w:tcW w:w="49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74" w:type="dxa"/>
            <w:vMerge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Практическая часть/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Practical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part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Гиперссылка на </w:t>
            </w:r>
            <w:proofErr w:type="gram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сторонний</w:t>
            </w:r>
            <w:proofErr w:type="gram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деоконтент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Выражение приветствия. /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pressions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of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greeting</w:t>
            </w:r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прощания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 / E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pressions of farewell.</w:t>
            </w:r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Знакомство. Представление. 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Acquaintance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Introduction</w:t>
            </w:r>
            <w:proofErr w:type="spellEnd"/>
          </w:p>
        </w:tc>
        <w:tc>
          <w:tcPr>
            <w:tcW w:w="1560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  <w:proofErr w:type="spellStart"/>
            <w:proofErr w:type="gram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-1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9D35E0" w:rsidRPr="009D35E0" w:rsidRDefault="009D35E0" w:rsidP="009D35E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vMerge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9D35E0" w:rsidRPr="009D35E0" w:rsidTr="00E11D01">
        <w:tc>
          <w:tcPr>
            <w:tcW w:w="49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74" w:type="dxa"/>
            <w:vMerge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Оценочная часть/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Evaluation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part</w:t>
            </w:r>
            <w:proofErr w:type="spellEnd"/>
          </w:p>
        </w:tc>
        <w:tc>
          <w:tcPr>
            <w:tcW w:w="368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Задания для оценивания осво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материала теоретической ч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сти: тестовые задания с одино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ным ответом - … шт.</w:t>
            </w:r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множественным выбором и/или на сопоставление и/или на уст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новление последовательности - … шт.</w:t>
            </w:r>
          </w:p>
        </w:tc>
        <w:tc>
          <w:tcPr>
            <w:tcW w:w="1560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45 заданий - 1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ч. (по 1 мин. на 1 зад.) 20 з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даний -1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ч. (по 2,25 мин. на 1 зад.)</w:t>
            </w:r>
          </w:p>
        </w:tc>
        <w:tc>
          <w:tcPr>
            <w:tcW w:w="1417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9D35E0" w:rsidRPr="009D35E0" w:rsidTr="00D66C27">
        <w:tc>
          <w:tcPr>
            <w:tcW w:w="495" w:type="dxa"/>
            <w:shd w:val="clear" w:color="auto" w:fill="EAF1DD" w:themeFill="accent3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9678" w:type="dxa"/>
            <w:gridSpan w:val="4"/>
            <w:shd w:val="clear" w:color="auto" w:fill="EAF1DD" w:themeFill="accent3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</w:pP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Итого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за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семестр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>/ Total for the semester: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7</w:t>
            </w:r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b/>
                <w:sz w:val="20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9D35E0" w:rsidRPr="009D35E0" w:rsidTr="00E11D01">
        <w:tc>
          <w:tcPr>
            <w:tcW w:w="49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74" w:type="dxa"/>
          </w:tcPr>
          <w:p w:rsidR="009D35E0" w:rsidRPr="009D35E0" w:rsidRDefault="009D35E0" w:rsidP="009D35E0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Контрольный раздел</w:t>
            </w:r>
            <w:r w:rsidRPr="009D35E0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 xml:space="preserve"> </w:t>
            </w: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/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Control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section</w:t>
            </w:r>
            <w:proofErr w:type="spellEnd"/>
          </w:p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Тестовые задания: с множественным выбором и/или на сопоставление и/или на установление последовательности - ... шт.</w:t>
            </w:r>
          </w:p>
        </w:tc>
        <w:tc>
          <w:tcPr>
            <w:tcW w:w="1560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20 заданий -1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ак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. ч. (по 2,25 мин. на 1 зад.)</w:t>
            </w:r>
          </w:p>
        </w:tc>
        <w:tc>
          <w:tcPr>
            <w:tcW w:w="1417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2 </w:t>
            </w:r>
            <w:proofErr w:type="spellStart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ак.ч</w:t>
            </w:r>
            <w:proofErr w:type="spellEnd"/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D35E0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9D35E0" w:rsidRPr="009D35E0" w:rsidRDefault="009D35E0" w:rsidP="009D35E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</w:tbl>
    <w:p w:rsidR="009D35E0" w:rsidRPr="009D35E0" w:rsidRDefault="009D35E0" w:rsidP="009D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5E0" w:rsidRPr="009D35E0" w:rsidRDefault="009D35E0" w:rsidP="009D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5E0">
        <w:rPr>
          <w:rFonts w:ascii="Times New Roman" w:eastAsia="Times New Roman" w:hAnsi="Times New Roman" w:cs="Times New Roman"/>
          <w:sz w:val="24"/>
          <w:szCs w:val="24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p w:rsidR="009D35E0" w:rsidRPr="009D35E0" w:rsidRDefault="009D35E0" w:rsidP="009D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35E0" w:rsidRPr="009D35E0" w:rsidTr="00E11D01">
        <w:tc>
          <w:tcPr>
            <w:tcW w:w="3190" w:type="dxa"/>
          </w:tcPr>
          <w:p w:rsidR="009D35E0" w:rsidRPr="009D35E0" w:rsidRDefault="009D35E0" w:rsidP="009D35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35E0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кафедрой</w:t>
            </w:r>
          </w:p>
          <w:p w:rsidR="009D35E0" w:rsidRPr="009D35E0" w:rsidRDefault="009D35E0" w:rsidP="009D35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35E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Pr="009D35E0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90" w:type="dxa"/>
            <w:hideMark/>
          </w:tcPr>
          <w:p w:rsidR="009D35E0" w:rsidRPr="009D35E0" w:rsidRDefault="009D35E0" w:rsidP="009D35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35E0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</w:rPr>
              <w:t xml:space="preserve">                         </w:t>
            </w:r>
            <w:r w:rsidRPr="009D35E0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</w:rPr>
              <w:drawing>
                <wp:inline distT="0" distB="0" distL="0" distR="0" wp14:anchorId="02D5BF16" wp14:editId="5D106444">
                  <wp:extent cx="38100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D35E0" w:rsidRPr="009D35E0" w:rsidRDefault="009D35E0" w:rsidP="009D35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35E0">
              <w:rPr>
                <w:rFonts w:ascii="Times New Roman" w:eastAsia="Times New Roman" w:hAnsi="Times New Roman" w:cs="Times New Roman"/>
                <w:sz w:val="24"/>
                <w:szCs w:val="28"/>
              </w:rPr>
              <w:t>Ю.Г. Фатеева</w:t>
            </w:r>
          </w:p>
        </w:tc>
      </w:tr>
    </w:tbl>
    <w:p w:rsidR="009D35E0" w:rsidRPr="009D35E0" w:rsidRDefault="009D35E0" w:rsidP="009D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D35E0" w:rsidRPr="009D35E0" w:rsidRDefault="009D35E0" w:rsidP="009D35E0">
      <w:pPr>
        <w:rPr>
          <w:rFonts w:eastAsiaTheme="minorHAnsi"/>
          <w:lang w:eastAsia="en-US"/>
        </w:rPr>
      </w:pPr>
    </w:p>
    <w:p w:rsidR="004E555C" w:rsidRDefault="004E555C">
      <w:bookmarkStart w:id="0" w:name="_GoBack"/>
      <w:bookmarkEnd w:id="0"/>
    </w:p>
    <w:sectPr w:rsidR="004E555C" w:rsidSect="00DC62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E0"/>
    <w:rsid w:val="004E555C"/>
    <w:rsid w:val="009D35E0"/>
    <w:rsid w:val="00A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D35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D35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2025-06-15T09:12:00Z</dcterms:created>
  <dcterms:modified xsi:type="dcterms:W3CDTF">2025-06-15T09:18:00Z</dcterms:modified>
</cp:coreProperties>
</file>