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180DCB" w:rsidRDefault="00180DCB">
      <w:pPr>
        <w:spacing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180DCB" w:rsidRDefault="00180DCB">
      <w:pPr>
        <w:spacing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180DCB" w:rsidRDefault="00180DCB">
      <w:pPr>
        <w:spacing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Курс 1: </w:t>
      </w:r>
      <w:r>
        <w:rPr>
          <w:rFonts w:ascii="Times New Roman" w:hAnsi="Times New Roman"/>
          <w:sz w:val="28"/>
          <w:szCs w:val="28"/>
          <w:lang w:eastAsia="ru-RU"/>
        </w:rPr>
        <w:t>Тема «Электрокардиограмма в норме. Электрическая ось сердца», 36 ак. ч</w:t>
      </w:r>
    </w:p>
    <w:p w:rsidR="00180DCB" w:rsidRDefault="00180DCB">
      <w:pPr>
        <w:spacing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tbl>
      <w:tblPr>
        <w:tblW w:w="10201" w:type="dxa"/>
        <w:tblInd w:w="-289" w:type="dxa"/>
        <w:tblLook w:val="00A0" w:firstRow="1" w:lastRow="0" w:firstColumn="1" w:lastColumn="0" w:noHBand="0" w:noVBand="0"/>
      </w:tblPr>
      <w:tblGrid>
        <w:gridCol w:w="336"/>
        <w:gridCol w:w="1717"/>
        <w:gridCol w:w="6732"/>
        <w:gridCol w:w="1661"/>
      </w:tblGrid>
      <w:tr w:rsidR="00180DCB"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Части ЭУК</w:t>
            </w: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Структурные элементы частей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Трудоемкость элемента</w:t>
            </w:r>
          </w:p>
        </w:tc>
      </w:tr>
      <w:tr w:rsidR="00180DCB">
        <w:tc>
          <w:tcPr>
            <w:tcW w:w="3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Теоретическая часть</w:t>
            </w: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rPr>
                <w:rFonts w:ascii="Times New Roman" w:hAnsi="Times New Roman"/>
                <w:iCs/>
                <w:spacing w:val="-8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Функциональная диагностика : национальное руководство / под ред. Н. Ф. Берестень, В. А. Сандрикова, С. И. Федоровой. - Москва : ГЭОТАР-Медиа, 2022. - 784 с. - (Национальные руководства). - ISBN 978-5-9704-6697-1. - Текст : электронный // ЭБС "Консультант студента" : [сайт]. - URL : </w:t>
            </w:r>
            <w:hyperlink r:id="rId6">
              <w:r>
                <w:rPr>
                  <w:rFonts w:ascii="Times New Roman" w:hAnsi="Times New Roman"/>
                  <w:sz w:val="24"/>
                  <w:szCs w:val="24"/>
                </w:rPr>
                <w:t>https://www.studentlibrary.ru/book/ISBN9785970466971.html</w:t>
              </w:r>
            </w:hyperlink>
            <w:r>
              <w:rPr>
                <w:rFonts w:ascii="Times New Roman" w:hAnsi="Times New Roman"/>
                <w:sz w:val="24"/>
                <w:szCs w:val="24"/>
              </w:rPr>
              <w:t xml:space="preserve"> . - Режим доступа : по подписке.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highlight w:val="cyan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</w:tc>
      </w:tr>
      <w:tr w:rsidR="00180DCB">
        <w:tc>
          <w:tcPr>
            <w:tcW w:w="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rPr>
                <w:rFonts w:ascii="Times New Roman" w:hAnsi="Times New Roman"/>
                <w:iCs/>
                <w:spacing w:val="-8"/>
                <w:sz w:val="24"/>
                <w:szCs w:val="24"/>
                <w:lang w:eastAsia="ru-RU"/>
              </w:rPr>
            </w:pPr>
            <w:r>
              <w:rPr>
                <w:rStyle w:val="hilight"/>
                <w:rFonts w:ascii="Times New Roman" w:hAnsi="Times New Roman"/>
                <w:iCs/>
                <w:spacing w:val="-8"/>
                <w:sz w:val="24"/>
                <w:szCs w:val="24"/>
                <w:lang w:eastAsia="ru-RU"/>
              </w:rPr>
              <w:t xml:space="preserve">Щукин, Ю. В. Функциональная диагностика в кардиологии / Ю. В. Щукин - Москва : ГЭОТАР-Медиа, 2017. - 336 с. - ISBN 978-5-9704-3943-2. - Текст : электронный // ЭБС "Консультант студента" : [сайт]. - URL: </w:t>
            </w:r>
            <w:hyperlink r:id="rId7">
              <w:r>
                <w:rPr>
                  <w:rFonts w:ascii="Times New Roman" w:hAnsi="Times New Roman"/>
                  <w:iCs/>
                  <w:spacing w:val="-8"/>
                  <w:sz w:val="24"/>
                  <w:szCs w:val="24"/>
                  <w:lang w:eastAsia="ru-RU"/>
                </w:rPr>
                <w:t>https://www.studentlibrary.ru/book/ISBN9785970439432.html</w:t>
              </w:r>
            </w:hyperlink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</w:tc>
      </w:tr>
      <w:tr w:rsidR="00180DCB">
        <w:tc>
          <w:tcPr>
            <w:tcW w:w="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rPr>
                <w:rFonts w:ascii="Times New Roman" w:hAnsi="Times New Roman"/>
                <w:color w:val="000000"/>
                <w:spacing w:val="8"/>
                <w:sz w:val="24"/>
                <w:szCs w:val="24"/>
                <w:highlight w:val="white"/>
                <w:lang w:eastAsia="ru-RU"/>
              </w:rPr>
            </w:pPr>
            <w:r>
              <w:rPr>
                <w:rStyle w:val="hilight"/>
                <w:rFonts w:ascii="Times New Roman" w:hAnsi="Times New Roman"/>
                <w:color w:val="000000"/>
                <w:spacing w:val="8"/>
                <w:sz w:val="24"/>
                <w:szCs w:val="24"/>
                <w:shd w:val="clear" w:color="auto" w:fill="FFFFFF"/>
                <w:lang w:eastAsia="ru-RU"/>
              </w:rPr>
              <w:t xml:space="preserve">Ярцев, С. С. Практическая электрокардиография: справочное пособие для анализа ЭКГ / С. С. Ярцев. - 3-е изд., перераб. и доп. - Москва : ГЭОТАР-Медиа, 2021. - 144 с. - ISBN 978-5-9704-6404-5. - Текст : электронный // ЭБС "Консультант студента" : [сайт]. - URL : </w:t>
            </w:r>
            <w:hyperlink r:id="rId8">
              <w:r>
                <w:rPr>
                  <w:rFonts w:ascii="Times New Roman" w:hAnsi="Times New Roman"/>
                  <w:spacing w:val="8"/>
                  <w:sz w:val="24"/>
                  <w:szCs w:val="24"/>
                  <w:highlight w:val="white"/>
                  <w:lang w:eastAsia="ru-RU"/>
                </w:rPr>
                <w:t>https://www.studentlibrary.ru/book/ISBN9785970464045.html</w:t>
              </w:r>
            </w:hyperlink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</w:tc>
      </w:tr>
      <w:tr w:rsidR="00180DCB">
        <w:tc>
          <w:tcPr>
            <w:tcW w:w="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rPr>
                <w:rFonts w:ascii="Times New Roman" w:hAnsi="Times New Roman"/>
                <w:iCs/>
                <w:spacing w:val="-8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Cs/>
                <w:spacing w:val="-8"/>
                <w:sz w:val="24"/>
                <w:szCs w:val="24"/>
                <w:lang w:eastAsia="ru-RU"/>
              </w:rPr>
              <w:t>Дорошенко Д.И. Практическая электрокардиография. Монография. / Дорошенко Д.И. – Волгоград. Издательство ВогГМУ. Издание 2-е, исправленное и дополненное. ISBN: 5-9233-0502.  Библиотека ВолгГМУ.</w:t>
            </w:r>
            <w:r>
              <w:rPr>
                <w:rFonts w:ascii="Times New Roman" w:hAnsi="Times New Roman"/>
                <w:iCs/>
                <w:spacing w:val="-8"/>
                <w:sz w:val="24"/>
                <w:szCs w:val="24"/>
                <w:shd w:val="clear" w:color="auto" w:fill="F5F5F5"/>
                <w:lang w:eastAsia="ru-RU"/>
              </w:rPr>
              <w:t xml:space="preserve"> 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</w:tc>
      </w:tr>
      <w:tr w:rsidR="00180DCB">
        <w:tc>
          <w:tcPr>
            <w:tcW w:w="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Презентация часть 1, часть 2.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«ЭКГ в норме. ЭОС. Способы определения ЭОС.»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</w:tc>
      </w:tr>
      <w:tr w:rsidR="00180DCB">
        <w:tc>
          <w:tcPr>
            <w:tcW w:w="3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Практическая часть</w:t>
            </w: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  <w:t xml:space="preserve">Ситуационная задача 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1.</w:t>
            </w:r>
          </w:p>
          <w:p w:rsidR="00180DCB" w:rsidRDefault="00180DCB">
            <w:pPr>
              <w:spacing w:after="16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 пациентки 58 лет с жалобами на слабость, одышку при незначительной физический нагрузке, ноющие боли в прекардиальной области зарегистрирована следующая ЭКГ.</w:t>
            </w:r>
          </w:p>
          <w:p w:rsidR="00180DCB" w:rsidRDefault="00180DCB">
            <w:pPr>
              <w:spacing w:after="160"/>
              <w:rPr>
                <w:rFonts w:ascii="Times New Roman" w:hAnsi="Times New Roman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Изображение1" o:spid="_x0000_s1026" type="#_x0000_t75" style="position:absolute;margin-left:1.2pt;margin-top:5.2pt;width:319.15pt;height:189.15pt;z-index:251652608;visibility:visible;mso-wrap-distance-left:0;mso-wrap-distance-right:0">
                  <v:imagedata r:id="rId9" o:title=""/>
                  <w10:wrap type="square" side="largest"/>
                </v:shape>
              </w:pict>
            </w:r>
            <w:r>
              <w:rPr>
                <w:rFonts w:ascii="Times New Roman" w:hAnsi="Times New Roman"/>
                <w:lang w:val="en-US"/>
              </w:rPr>
              <w:t>1.</w:t>
            </w:r>
            <w:r>
              <w:rPr>
                <w:rFonts w:ascii="Times New Roman" w:hAnsi="Times New Roman"/>
              </w:rPr>
              <w:t xml:space="preserve"> Имеется ли синусовый ритм на данной ЭКГ?</w:t>
            </w:r>
          </w:p>
          <w:p w:rsidR="00180DCB" w:rsidRDefault="00180DCB">
            <w:pPr>
              <w:spacing w:after="16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2. Какой диагноз Вы предполагаете? </w:t>
            </w: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3.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Какие методы исследования Вы порекомендуете?</w:t>
            </w: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Ситуационная задача 2.</w:t>
            </w: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D1C37">
              <w:rPr>
                <w:noProof/>
              </w:rPr>
              <w:pict>
                <v:shape id="Рисунок 1" o:spid="_x0000_i1025" type="#_x0000_t75" style="width:251.25pt;height:204pt;visibility:visible">
                  <v:imagedata r:id="rId10" o:title=""/>
                </v:shape>
              </w:pict>
            </w: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  <w:p w:rsidR="00180DCB" w:rsidRDefault="00180DCB">
            <w:pPr>
              <w:ind w:firstLine="42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  Каким образом Вы опишите изменения на представленных фрагментах ЭКГ?</w:t>
            </w:r>
          </w:p>
          <w:p w:rsidR="00180DCB" w:rsidRDefault="00180DCB">
            <w:pPr>
              <w:ind w:firstLine="42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   Какие заболевания сердца Вы предположите?</w:t>
            </w:r>
          </w:p>
          <w:p w:rsidR="00180DCB" w:rsidRDefault="00180DCB">
            <w:pPr>
              <w:spacing w:line="240" w:lineRule="auto"/>
              <w:ind w:firstLine="426"/>
              <w:contextualSpacing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3. Какие методы исследования Вы порекомендуете, и какие результаты предполагаете получить? </w:t>
            </w: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</w:tr>
      <w:tr w:rsidR="00180DCB">
        <w:tc>
          <w:tcPr>
            <w:tcW w:w="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Презентация на тему (по выбору):</w:t>
            </w:r>
          </w:p>
          <w:p w:rsidR="00180DCB" w:rsidRDefault="00180DCB">
            <w:pPr>
              <w:spacing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 Нормальная ЭКГ, способы расчета ЧСС;</w:t>
            </w:r>
          </w:p>
          <w:p w:rsidR="00180DCB" w:rsidRDefault="00180DCB">
            <w:pPr>
              <w:spacing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 Основные зубцы, амплитудные показатели, интервалы ЭКГ в норме;</w:t>
            </w:r>
          </w:p>
          <w:p w:rsidR="00180DCB" w:rsidRDefault="00180DCB">
            <w:pPr>
              <w:spacing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3. Варианты нормальной ЭКГ,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-,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Q</w:t>
            </w:r>
            <w:r>
              <w:rPr>
                <w:rFonts w:ascii="Times New Roman" w:hAnsi="Times New Roman"/>
                <w:sz w:val="24"/>
                <w:szCs w:val="24"/>
              </w:rPr>
              <w:t>-тип ЭКГ;</w:t>
            </w:r>
          </w:p>
          <w:p w:rsidR="00180DCB" w:rsidRDefault="00180DCB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4. Электрическая ось сердца, повороты вокруг фронтальной, сагиттальной плоскостей.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</w:tc>
      </w:tr>
      <w:tr w:rsidR="00180DCB"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Оценочная часть</w:t>
            </w: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1. Нормальная продолжительность интервала QT составляет: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0,08 – 0,24 с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б) 0,12 – 0,2 с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0,1 – 0,15 с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0,15 – 0,3 с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0,1 – 0,18 с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2. Зубец P в норме всегда отрицательный в отведении: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II на вдохе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III на вдохе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в) AVR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V3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D по Небу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3. Зубец Q не считается патологическим, если он: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по амплитуде больше ¼ следующего за ним зубца R в отведении II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б) по амплитуде больше 1/3 следующего за ним зубца R в отведении AVR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по амплитуде больше ½ следующего за ним зубца R в отведении V2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по продолжительности больше 0,03 с в отведении I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по продолжительности не больше 0,03 с в отведении V1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4. Должная величина интервала QT по формуле Базетта у мужчины с частотой сердечных сокращений 60 уд/мин составляет: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0,5 с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0,42 с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0,33 с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г) 0,37 с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ответ невозможен, т.к. приведено недостаточно данных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5. Признаком атриовентрикулярной блокады I степени является: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периодическое выпадение желудочковых комплексов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периодическое выпадение предсердных и желудочковых комплексов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сокращение предсердий и желудочков в своем ритме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удлинение интервала QT на 25 % и более от должного по формуле Базетта </w:t>
            </w:r>
          </w:p>
          <w:p w:rsidR="00180DCB" w:rsidRDefault="00180DCB"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>д) удлинение интервала PQ более 0,2 с</w:t>
            </w: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6. Признаком задне-диафрагмального инфаркта миокарда являются патологические зубцы Q в отведениях: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I, II, III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б) II, III, AVF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AVR, AVL, AVF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V1, V2, V3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V4, V5, V6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7. Признаком синдрома Вольфа – Паркинсона – Уайта является: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укорочение интервала PQ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удлинение интервала PQ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депрессия сегмента ST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удлинение интервала PQ и депрессия сегмента ST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д) укорочение интервала PQ и деформация желудочкового комплекса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8. Запись ЭКГ по Небу используется для диагностики: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фибрилляции предсердий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любых нарушений ритма кроме фибрилляции предсердий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передне - перегородочного инфаркта миокарда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г) задне - базального инфаркта миокарда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задне - диафрагмального инфаркта миокарда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9. Признаком передне - перегородочного инфаркта миокарда в сочетании с блокадой правой ножки пучка Гиса является следующая конфигурация зубцов: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QS в отведениях V1-V2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rS в отведениях V5-V6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QR в отведениях II, III, AVF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г) QR в отведениях V1-V2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Rsr в отведениях I, II, AVL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10. Признаком политопной желудочковой экстрасистолии являются: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а) разные по форме комплексы qRs в одном отведении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разные по форме комплексы qRs в разных отведениях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одинаковые по форме комплексы qRs в одном отведении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одинаковые по форме комплексы qRs в разных отведениях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ни один из перечисленных признаков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11. Наличие зубца P высотой более 0,25 мВ в отведениях III и AVF свидетельствует из перечисленных заболеваний скорее всего о: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острой недостаточности мозгового кровообращения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коарктации аорты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гипертрофической кардиомиопатии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артериальной гипертонии при синдроме Конна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д) первичной легочной гипертонии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12. Соотношение зубцов RV6&gt;RV5&gt;RV5 бывает при: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а) стенозе аортального клапана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стенозе митрального клапана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бронхиальной астме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выпотном перикардите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тромбэмболии легочной артерии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13. Интервал PQ удлиняется при использовании: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а) метопролола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амлодипина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эналаприла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индапамида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изосорбида динитрата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14. К провоцирующим функциональным пробам относятся пробы: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с динамической физической нагрузкой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с психоэмоциональной нагрузкой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со статической физической нагрузкой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с чреспищеводной электрической стимуляцией предсердий </w:t>
            </w: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д) все вышеперечисленные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15. Интенсивность физической работы измеряется в килограммометрах(кгм) или ваттах(Вт), при этом 1Вт соответствует: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2,5 кгм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5 кгм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в) 6 кгм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7,5 кгм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8 кгм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16. Показанием к применению велоэргометрической пробы является: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дифференциальная диагностика ИБС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экспертиза трудоспособности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оценка эффективности лечения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профотбор для работы в экстремальных условиях </w:t>
            </w:r>
          </w:p>
          <w:p w:rsidR="00180DCB" w:rsidRDefault="00180DCB"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>д) все вышеперечисленные ситуации</w:t>
            </w: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17. Абсолютным противопоказанием к проведению велоэргометрической пробы является: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стабильная стенокардия напряжения III-IV функциональных классов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инфаркт миокарда трехнедельной давности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остеоартроз обеих коленных суставов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г) острый тромбофлебит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перемежающаяся хромота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18. Максимальная частота сердечных сокращений при проведении функциональных проб: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а) определяется по формуле «220 – возраст»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определяется по формуле «(251 – возраст)/рост в м»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определяется по формуле «285 – возраст – вес в к»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определяется целью исследования и не зависит т возраста, роста и веса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среди перечисленных выше правильных ответов нет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19. Самым достоверным признаком коронарной недостаточности при проведении велоэргометрической пробы является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приступ стенокардии, для купирования которого пришлось принят сублингвально более одной таблетки нитроглицерина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снижение систолического АД более чем на 20 мм рт ст в ходе выполнения одной ступени пробы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инверсия зубца Т более чем в одном отведении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г) депрессия сегмента ST не менее чем на 0,1 мВ от исходного уровня продолжительностью не менее 0,08 с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депрессия сегмента ST не менее чем на 0,05 мВ от исходного уровня продолжительностью не менее 0,1 с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20. Использование эргометрина при проведении фармакологической пробы основано на его способности: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увеличивать частоту и силу сердечных сокращений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вызывать феномен «обкрадывания»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в) вызывать спазм сосудов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уменьшать преднагрузку на сердце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восстанавливать электролитный баланс в сердечной мышце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21. При проведении теста с 6 – минутной ходьбой пациент прошел 520 м. По классификации ХСН это соответствует: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0 ФК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б) I ФК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II ФК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III ФК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IV ФК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22. При проведении суточного мониторинга ЭКГ достоверным критерием ишемии миокарда является: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появление депрессии сегмента SТ ишемического характера на 1 мм и более при ее длительности 1 минута и более и времени между отдельными эпизодами депрессии сегмента SТ 1 минута и более.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появление желудочковой экстрасистолии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появление инверсии зубца Т при длительности 1 минута и более в сочетании с нарушением а/в проводимости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появление депрессии сегмента SТ ишемического характера на 0,5 мм и более при времени между отдельными эпизодами депрессии сегмента SТ 1 минута и более. </w:t>
            </w:r>
          </w:p>
          <w:p w:rsidR="00180DCB" w:rsidRDefault="00180DCB"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>д) ни один из вышеперечисленных признаков</w:t>
            </w: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23. Точкой Венкенбаха называется: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точка перехода восходящего колена зубца S в сегмент ST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точка перехода нисходящего колена зубца Т в изоэлектрическую линию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в) частота, при которой возникает АВ блокада II степени (соответствует наибольшей антеградной проводимости через АВ соединение)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частота, при которой появляются достоверные признаки коронарной недостаточности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точка, отстоящая на 0,08 т начала сегмента ST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24. Акинезия передней стенки левого желудочка является признаком: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гипертрофической кардиомиопатии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дилятационной кардиомиопатии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выпотного перикардита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г) перенесенного инфаркта передней стенки левого желудочка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аневризмы задней стенки левого желудочка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25. При ЭхоКг выявлено систолическое прогибание створок митрального клапана в полость левого предсердия. При аускультации у этого пациента скорее всего можно будет выслушать: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систолический шум на верхушке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протодиастолический шум на верхушке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систолический шум на аорте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акцент II тона на аорте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д) систолический щелчок на верхушке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26. Толщина задней стенки левого желудочка в диастолу составляет не более: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7 мм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8 мм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9 мм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г) 10 мм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11 мм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27. Наиболее достоверным признаком нарушения систолической функции левого желудочка является: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увеличенный конечно - диастолический объем левого желудочка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увеличение размеров левого предсердия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недостаточность клапанов легочной артерии c регургитацией II и более степени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средне – систолическое прикрытие аортального клапана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д) снижение фракции выброса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28. Необходимый минимум обследований перед коронароангиографией включает: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общий анализ крови и мочи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коагулограмму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функциональные пробы на ИБС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ФгС (при наличии в анамнезе язвенной болезни)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д) все перечисленное выше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29. Снижение ЖЕЛ не характерно для::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крупозной пневмонии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б) выпотного перикардита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болезни Бехтерева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пневмоторакса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д) бронхиальной астмы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30. У пациента с резким снижением ФВ1 чаще все из ниже перечисленного встречается: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а) блокада левой ножки пучка гиса </w:t>
            </w: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 xml:space="preserve">б) блокада правой ножки пучка гиса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в) блокада передней ветви левой ножки пучка гиса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г) АВ блокада I степени </w: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 xml:space="preserve">д) все перечисленные феномены встречаются с одинаковой частотой 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rPr>
                <w:b/>
                <w:bCs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>Варианты ЭКГ: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1.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2" o:spid="_x0000_s1027" type="#_x0000_t75" style="position:absolute;margin-left:-.75pt;margin-top:12.15pt;width:319.15pt;height:152.45pt;z-index:251655680;visibility:visible;mso-wrap-distance-left:0;mso-wrap-distance-right:0">
                  <v:imagedata r:id="rId11" o:title=""/>
                  <w10:wrap type="square" side="largest"/>
                </v:shape>
              </w:pic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2.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3" o:spid="_x0000_s1028" type="#_x0000_t75" style="position:absolute;margin-left:0;margin-top:3.25pt;width:319.15pt;height:153.6pt;z-index:251659776;visibility:visible;mso-wrap-distance-left:0;mso-wrap-distance-right:0">
                  <v:imagedata r:id="rId12" o:title=""/>
                  <w10:wrap type="square" side="largest"/>
                </v:shape>
              </w:pic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3.</w:t>
            </w:r>
          </w:p>
          <w:p w:rsidR="00180DCB" w:rsidRDefault="00180DCB">
            <w:r>
              <w:rPr>
                <w:noProof/>
              </w:rPr>
              <w:pict>
                <v:shape id="Изображение4" o:spid="_x0000_s1029" type="#_x0000_t75" style="position:absolute;margin-left:0;margin-top:7.75pt;width:319.15pt;height:165.6pt;z-index:251660800;visibility:visible;mso-wrap-distance-left:0;mso-wrap-distance-right:0">
                  <v:imagedata r:id="rId13" o:title=""/>
                  <w10:wrap type="square" side="largest"/>
                </v:shape>
              </w:pic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4.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5" o:spid="_x0000_s1030" type="#_x0000_t75" style="position:absolute;margin-left:0;margin-top:11.25pt;width:319.15pt;height:167.9pt;z-index:251661824;visibility:visible;mso-wrap-distance-left:0;mso-wrap-distance-right:0">
                  <v:imagedata r:id="rId14" o:title=""/>
                  <w10:wrap type="square" side="largest"/>
                </v:shape>
              </w:pic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5.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6" o:spid="_x0000_s1031" type="#_x0000_t75" style="position:absolute;margin-left:0;margin-top:7.75pt;width:319.15pt;height:169.8pt;z-index:251662848;visibility:visible;mso-wrap-distance-left:0;mso-wrap-distance-right:0">
                  <v:imagedata r:id="rId15" o:title=""/>
                  <w10:wrap type="square" side="largest"/>
                </v:shape>
              </w:pic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6.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7" o:spid="_x0000_s1032" type="#_x0000_t75" style="position:absolute;margin-left:0;margin-top:5.25pt;width:319.15pt;height:169.1pt;z-index:251657728;visibility:visible;mso-wrap-distance-left:0;mso-wrap-distance-right:0">
                  <v:imagedata r:id="rId16" o:title=""/>
                  <w10:wrap type="square" side="largest"/>
                </v:shape>
              </w:pic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7.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8" o:spid="_x0000_s1033" type="#_x0000_t75" style="position:absolute;margin-left:0;margin-top:-.25pt;width:319.15pt;height:155.9pt;z-index:251658752;visibility:visible;mso-wrap-distance-left:0;mso-wrap-distance-right:0">
                  <v:imagedata r:id="rId17" o:title=""/>
                  <w10:wrap type="square" side="largest"/>
                </v:shape>
              </w:pic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8.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9" o:spid="_x0000_s1034" type="#_x0000_t75" style="position:absolute;margin-left:0;margin-top:12pt;width:319.15pt;height:166.75pt;z-index:251656704;visibility:visible;mso-wrap-distance-left:0;mso-wrap-distance-right:0">
                  <v:imagedata r:id="rId18" o:title=""/>
                  <w10:wrap type="square" side="largest"/>
                </v:shape>
              </w:pic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9.</w:t>
            </w:r>
          </w:p>
          <w:p w:rsidR="00180DCB" w:rsidRDefault="00180DCB">
            <w:r>
              <w:rPr>
                <w:noProof/>
              </w:rPr>
              <w:pict>
                <v:shape id="Изображение10" o:spid="_x0000_s1035" type="#_x0000_t75" style="position:absolute;margin-left:0;margin-top:5.5pt;width:319.15pt;height:166.55pt;z-index:251654656;visibility:visible;mso-wrap-distance-left:0;mso-wrap-distance-right:0">
                  <v:imagedata r:id="rId19" o:title=""/>
                  <w10:wrap type="square" side="largest"/>
                </v:shape>
              </w:pict>
            </w:r>
          </w:p>
          <w:p w:rsidR="00180DCB" w:rsidRDefault="00180DCB"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10.</w:t>
            </w: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11" o:spid="_x0000_s1036" type="#_x0000_t75" style="position:absolute;margin-left:0;margin-top:-.25pt;width:319.15pt;height:162.3pt;z-index:251653632;visibility:visible;mso-wrap-distance-left:0;mso-wrap-distance-right:0">
                  <v:imagedata r:id="rId20" o:title=""/>
                  <w10:wrap type="square" side="largest"/>
                </v:shape>
              </w:pic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 ак. ч.</w:t>
            </w: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180DCB" w:rsidRDefault="00180DCB">
            <w:pPr>
              <w:spacing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6 ак. ч.</w:t>
            </w:r>
          </w:p>
        </w:tc>
      </w:tr>
      <w:tr w:rsidR="00180DCB">
        <w:tc>
          <w:tcPr>
            <w:tcW w:w="86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0DCB" w:rsidRDefault="00180DCB">
            <w:pPr>
              <w:spacing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36 ак.ч</w:t>
            </w:r>
          </w:p>
        </w:tc>
      </w:tr>
    </w:tbl>
    <w:p w:rsidR="00180DCB" w:rsidRDefault="00180DCB">
      <w:pPr>
        <w:spacing w:line="240" w:lineRule="auto"/>
        <w:jc w:val="both"/>
        <w:rPr>
          <w:rFonts w:ascii="Times New Roman" w:hAnsi="Times New Roman"/>
          <w:sz w:val="28"/>
          <w:szCs w:val="28"/>
          <w:u w:val="single"/>
          <w:lang w:eastAsia="ru-RU"/>
        </w:rPr>
      </w:pPr>
    </w:p>
    <w:sectPr w:rsidR="00180DCB" w:rsidSect="00CD37DF">
      <w:footerReference w:type="default" r:id="rId21"/>
      <w:pgSz w:w="11906" w:h="16838"/>
      <w:pgMar w:top="1134" w:right="850" w:bottom="1134" w:left="1701" w:header="0" w:footer="708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180DCB" w:rsidRDefault="00180DCB">
      <w:pPr>
        <w:spacing w:line="240" w:lineRule="auto"/>
      </w:pPr>
      <w:r>
        <w:separator/>
      </w:r>
    </w:p>
  </w:endnote>
  <w:endnote w:type="continuationSeparator" w:id="0">
    <w:p w:rsidR="00180DCB" w:rsidRDefault="00180DC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Liberation Sans">
    <w:altName w:val="Arial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180DCB" w:rsidRDefault="00180DCB">
    <w:pPr>
      <w:pStyle w:val="a6"/>
    </w:pPr>
  </w:p>
  <w:p w:rsidR="00180DCB" w:rsidRDefault="00180DCB">
    <w:pPr>
      <w:pStyle w:val="a6"/>
    </w:pPr>
  </w:p>
  <w:p w:rsidR="00180DCB" w:rsidRDefault="00180DCB">
    <w:pPr>
      <w:pStyle w:val="a6"/>
    </w:pPr>
  </w:p>
  <w:p w:rsidR="00180DCB" w:rsidRDefault="00180DCB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180DCB" w:rsidRDefault="00180DCB">
      <w:pPr>
        <w:spacing w:line="240" w:lineRule="auto"/>
      </w:pPr>
      <w:r>
        <w:separator/>
      </w:r>
    </w:p>
  </w:footnote>
  <w:footnote w:type="continuationSeparator" w:id="0">
    <w:p w:rsidR="00180DCB" w:rsidRDefault="00180DCB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0"/>
  </w:compat>
  <w:rsids>
    <w:rsidRoot w:val="00656138"/>
    <w:rsid w:val="00026E1F"/>
    <w:rsid w:val="00180DCB"/>
    <w:rsid w:val="002D1C37"/>
    <w:rsid w:val="00656138"/>
    <w:rsid w:val="00CD37DF"/>
    <w:rsid w:val="00E57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7"/>
    <o:shapelayout v:ext="edit">
      <o:idmap v:ext="edit" data="1"/>
    </o:shapelayout>
  </w:shapeDefaults>
  <w:decimalSymbol w:val=","/>
  <w:listSeparator w:val=";"/>
  <w14:defaultImageDpi w14:val="0"/>
  <w15:docId w15:val="{FC33477B-E0FA-4D49-9CAE-52BEC3D116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uiPriority="9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uiPriority="35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uppressAutoHyphens/>
      <w:spacing w:after="0"/>
    </w:pPr>
    <w:rPr>
      <w:lang w:eastAsia="en-US"/>
    </w:rPr>
  </w:style>
  <w:style w:type="paragraph" w:styleId="3">
    <w:name w:val="heading 3"/>
    <w:basedOn w:val="a"/>
    <w:next w:val="a"/>
    <w:link w:val="30"/>
    <w:uiPriority w:val="99"/>
    <w:qFormat/>
    <w:pPr>
      <w:keepNext/>
      <w:keepLines/>
      <w:spacing w:before="40"/>
      <w:outlineLvl w:val="2"/>
    </w:pPr>
    <w:rPr>
      <w:rFonts w:ascii="Calibri Light" w:eastAsia="Times New Roman" w:hAnsi="Calibri Light"/>
      <w:color w:val="1F4D78"/>
      <w:sz w:val="24"/>
      <w:szCs w:val="24"/>
    </w:rPr>
  </w:style>
  <w:style w:type="character" w:default="1" w:styleId="a0">
    <w:name w:val="Default Paragraph Font"/>
    <w:uiPriority w:val="99"/>
    <w:semiHidden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semiHidden/>
    <w:locked/>
    <w:rPr>
      <w:rFonts w:ascii="Calibri Light" w:hAnsi="Calibri Light"/>
      <w:color w:val="1F4D78"/>
      <w:sz w:val="24"/>
    </w:rPr>
  </w:style>
  <w:style w:type="character" w:customStyle="1" w:styleId="-">
    <w:name w:val="Интернет-ссылка"/>
    <w:uiPriority w:val="99"/>
    <w:rPr>
      <w:color w:val="0563C1"/>
      <w:u w:val="single"/>
    </w:rPr>
  </w:style>
  <w:style w:type="character" w:customStyle="1" w:styleId="a3">
    <w:name w:val="Верхний колонтитул Знак"/>
    <w:link w:val="a4"/>
    <w:uiPriority w:val="99"/>
    <w:locked/>
  </w:style>
  <w:style w:type="character" w:customStyle="1" w:styleId="a5">
    <w:name w:val="Нижний колонтитул Знак"/>
    <w:link w:val="a6"/>
    <w:uiPriority w:val="99"/>
    <w:locked/>
  </w:style>
  <w:style w:type="character" w:styleId="a7">
    <w:name w:val="Hyperlink"/>
    <w:basedOn w:val="a0"/>
    <w:uiPriority w:val="99"/>
    <w:rPr>
      <w:rFonts w:cs="Times New Roman"/>
      <w:color w:val="0563C1"/>
      <w:u w:val="single"/>
    </w:rPr>
  </w:style>
  <w:style w:type="character" w:customStyle="1" w:styleId="a8">
    <w:name w:val="Посещённая гиперссылка"/>
    <w:uiPriority w:val="99"/>
    <w:rPr>
      <w:color w:val="800080"/>
      <w:u w:val="single"/>
    </w:rPr>
  </w:style>
  <w:style w:type="character" w:customStyle="1" w:styleId="WW8Num28z0">
    <w:name w:val="WW8Num28z0"/>
    <w:uiPriority w:val="99"/>
    <w:rPr>
      <w:rFonts w:ascii="Times New Roman" w:eastAsia="Times New Roman" w:hAnsi="Times New Roman"/>
      <w:b/>
      <w:color w:val="000000"/>
      <w:spacing w:val="8"/>
      <w:sz w:val="24"/>
      <w:lang w:val="x-none" w:eastAsia="ar-SA" w:bidi="ar-SA"/>
    </w:rPr>
  </w:style>
  <w:style w:type="character" w:customStyle="1" w:styleId="WW8Num28z1">
    <w:name w:val="WW8Num28z1"/>
    <w:uiPriority w:val="99"/>
    <w:rPr>
      <w:rFonts w:ascii="Times New Roman" w:hAnsi="Times New Roman"/>
      <w:sz w:val="24"/>
    </w:rPr>
  </w:style>
  <w:style w:type="character" w:customStyle="1" w:styleId="WW8Num28z2">
    <w:name w:val="WW8Num28z2"/>
    <w:uiPriority w:val="99"/>
  </w:style>
  <w:style w:type="character" w:customStyle="1" w:styleId="WW8Num28z3">
    <w:name w:val="WW8Num28z3"/>
    <w:uiPriority w:val="99"/>
  </w:style>
  <w:style w:type="character" w:customStyle="1" w:styleId="WW8Num28z4">
    <w:name w:val="WW8Num28z4"/>
    <w:uiPriority w:val="99"/>
  </w:style>
  <w:style w:type="character" w:customStyle="1" w:styleId="WW8Num28z5">
    <w:name w:val="WW8Num28z5"/>
    <w:uiPriority w:val="99"/>
  </w:style>
  <w:style w:type="character" w:customStyle="1" w:styleId="WW8Num28z6">
    <w:name w:val="WW8Num28z6"/>
    <w:uiPriority w:val="99"/>
  </w:style>
  <w:style w:type="character" w:customStyle="1" w:styleId="WW8Num28z7">
    <w:name w:val="WW8Num28z7"/>
    <w:uiPriority w:val="99"/>
  </w:style>
  <w:style w:type="character" w:customStyle="1" w:styleId="WW8Num28z8">
    <w:name w:val="WW8Num28z8"/>
    <w:uiPriority w:val="99"/>
  </w:style>
  <w:style w:type="character" w:customStyle="1" w:styleId="hilight">
    <w:name w:val="hilight"/>
    <w:uiPriority w:val="99"/>
  </w:style>
  <w:style w:type="character" w:customStyle="1" w:styleId="a9">
    <w:name w:val="Символ нумерации"/>
    <w:uiPriority w:val="99"/>
  </w:style>
  <w:style w:type="paragraph" w:styleId="aa">
    <w:name w:val="Title"/>
    <w:basedOn w:val="a"/>
    <w:next w:val="ab"/>
    <w:link w:val="ac"/>
    <w:uiPriority w:val="99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character" w:customStyle="1" w:styleId="ac">
    <w:name w:val="Заголовок Знак"/>
    <w:basedOn w:val="a0"/>
    <w:link w:val="aa"/>
    <w:uiPriority w:val="10"/>
    <w:rsid w:val="00652A02"/>
    <w:rPr>
      <w:rFonts w:asciiTheme="majorHAnsi" w:eastAsiaTheme="majorEastAsia" w:hAnsiTheme="majorHAnsi" w:cstheme="majorBidi"/>
      <w:b/>
      <w:bCs/>
      <w:kern w:val="28"/>
      <w:sz w:val="32"/>
      <w:szCs w:val="32"/>
      <w:lang w:eastAsia="en-US"/>
    </w:rPr>
  </w:style>
  <w:style w:type="paragraph" w:styleId="ab">
    <w:name w:val="Body Text"/>
    <w:basedOn w:val="a"/>
    <w:link w:val="ad"/>
    <w:uiPriority w:val="99"/>
    <w:pPr>
      <w:spacing w:after="140" w:line="276" w:lineRule="auto"/>
    </w:pPr>
  </w:style>
  <w:style w:type="character" w:customStyle="1" w:styleId="ad">
    <w:name w:val="Основной текст Знак"/>
    <w:basedOn w:val="a0"/>
    <w:link w:val="ab"/>
    <w:uiPriority w:val="99"/>
    <w:semiHidden/>
    <w:rsid w:val="00652A02"/>
    <w:rPr>
      <w:lang w:eastAsia="en-US"/>
    </w:rPr>
  </w:style>
  <w:style w:type="paragraph" w:styleId="ae">
    <w:name w:val="List"/>
    <w:basedOn w:val="ab"/>
    <w:uiPriority w:val="99"/>
    <w:rPr>
      <w:rFonts w:cs="Arial"/>
    </w:rPr>
  </w:style>
  <w:style w:type="paragraph" w:styleId="af">
    <w:name w:val="caption"/>
    <w:basedOn w:val="a"/>
    <w:uiPriority w:val="99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1">
    <w:name w:val="index 1"/>
    <w:basedOn w:val="a"/>
    <w:next w:val="a"/>
    <w:autoRedefine/>
    <w:uiPriority w:val="99"/>
    <w:semiHidden/>
    <w:pPr>
      <w:ind w:left="220" w:hanging="220"/>
    </w:pPr>
  </w:style>
  <w:style w:type="paragraph" w:styleId="af0">
    <w:name w:val="index heading"/>
    <w:basedOn w:val="a"/>
    <w:uiPriority w:val="99"/>
    <w:pPr>
      <w:suppressLineNumbers/>
    </w:pPr>
    <w:rPr>
      <w:rFonts w:cs="Arial"/>
    </w:rPr>
  </w:style>
  <w:style w:type="paragraph" w:styleId="af1">
    <w:name w:val="Normal (Web)"/>
    <w:basedOn w:val="a"/>
    <w:uiPriority w:val="99"/>
    <w:semiHidden/>
    <w:pPr>
      <w:spacing w:beforeAutospacing="1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2">
    <w:name w:val="List Paragraph"/>
    <w:basedOn w:val="a"/>
    <w:uiPriority w:val="99"/>
    <w:qFormat/>
    <w:pPr>
      <w:spacing w:line="240" w:lineRule="auto"/>
      <w:ind w:left="720"/>
      <w:contextualSpacing/>
    </w:pPr>
    <w:rPr>
      <w:rFonts w:eastAsia="Times New Roman"/>
      <w:szCs w:val="20"/>
      <w:lang w:eastAsia="ja-JP"/>
    </w:rPr>
  </w:style>
  <w:style w:type="paragraph" w:customStyle="1" w:styleId="af3">
    <w:name w:val="Верхний и нижний колонтитулы"/>
    <w:basedOn w:val="a"/>
    <w:uiPriority w:val="99"/>
  </w:style>
  <w:style w:type="paragraph" w:styleId="a4">
    <w:name w:val="header"/>
    <w:basedOn w:val="a"/>
    <w:link w:val="a3"/>
    <w:uiPriority w:val="99"/>
    <w:pPr>
      <w:tabs>
        <w:tab w:val="center" w:pos="4677"/>
        <w:tab w:val="right" w:pos="9355"/>
      </w:tabs>
      <w:spacing w:line="240" w:lineRule="auto"/>
    </w:pPr>
  </w:style>
  <w:style w:type="character" w:customStyle="1" w:styleId="10">
    <w:name w:val="Верхний колонтитул Знак1"/>
    <w:basedOn w:val="a0"/>
    <w:uiPriority w:val="99"/>
    <w:semiHidden/>
    <w:rsid w:val="00652A02"/>
    <w:rPr>
      <w:lang w:eastAsia="en-US"/>
    </w:rPr>
  </w:style>
  <w:style w:type="paragraph" w:styleId="a6">
    <w:name w:val="footer"/>
    <w:basedOn w:val="a"/>
    <w:link w:val="a5"/>
    <w:uiPriority w:val="99"/>
    <w:pPr>
      <w:tabs>
        <w:tab w:val="center" w:pos="4677"/>
        <w:tab w:val="right" w:pos="9355"/>
      </w:tabs>
      <w:spacing w:line="240" w:lineRule="auto"/>
    </w:pPr>
  </w:style>
  <w:style w:type="character" w:customStyle="1" w:styleId="11">
    <w:name w:val="Нижний колонтитул Знак1"/>
    <w:basedOn w:val="a0"/>
    <w:uiPriority w:val="99"/>
    <w:semiHidden/>
    <w:rsid w:val="00652A02"/>
    <w:rPr>
      <w:lang w:eastAsia="en-US"/>
    </w:rPr>
  </w:style>
  <w:style w:type="table" w:styleId="af4">
    <w:name w:val="Table Grid"/>
    <w:basedOn w:val="a1"/>
    <w:uiPriority w:val="99"/>
    <w:pPr>
      <w:spacing w:after="0" w:line="24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uiPriority w:val="99"/>
    <w:pPr>
      <w:suppressAutoHyphens/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tudentlibrary.ru/book/ISBN9785970464045.html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hyperlink" Target="https://www.studentlibrary.ru/book/ISBN9785970439432.html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hyperlink" Target="https://www.studentlibrary.ru/book/ISBN9785970466971.html" TargetMode="External"/><Relationship Id="rId11" Type="http://schemas.openxmlformats.org/officeDocument/2006/relationships/image" Target="media/image3.png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footnotes" Target="footnot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1688</Words>
  <Characters>9624</Characters>
  <Application>Microsoft Office Word</Application>
  <DocSecurity>0</DocSecurity>
  <Lines>80</Lines>
  <Paragraphs>22</Paragraphs>
  <ScaleCrop>false</ScaleCrop>
  <Company/>
  <LinksUpToDate>false</LinksUpToDate>
  <CharactersWithSpaces>11290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Microsoft Office</cp:lastModifiedBy>
  <cp:revision>2</cp:revision>
  <dcterms:created xsi:type="dcterms:W3CDTF">2025-07-31T16:09:00Z</dcterms:created>
  <dcterms:modified xsi:type="dcterms:W3CDTF">2025-07-31T16:09:00Z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