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3E" w:rsidRDefault="001F76E9">
      <w:pPr>
        <w:pStyle w:val="Standard"/>
        <w:spacing w:line="276" w:lineRule="auto"/>
        <w:ind w:right="227" w:firstLine="425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>Синдром MELAS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  <w:b/>
          <w:bCs/>
        </w:rPr>
        <w:t>Синдром MELAS</w:t>
      </w:r>
      <w:r>
        <w:rPr>
          <w:rFonts w:ascii="Times New Roman" w:eastAsia="Times New Roman" w:hAnsi="Times New Roman" w:cs="Times New Roman"/>
        </w:rPr>
        <w:t xml:space="preserve"> (митохондриальная энцефаломиопатия с лактатацидозом и инсультоподобными эпизодами) — генетическое заболевание с поражением центральной нервной системы, мышечной ткани и различных органов.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 xml:space="preserve">Синдром вызван точечными мутациями </w:t>
      </w:r>
      <w:r>
        <w:rPr>
          <w:rFonts w:ascii="Times New Roman" w:eastAsia="Times New Roman" w:hAnsi="Times New Roman" w:cs="Times New Roman"/>
        </w:rPr>
        <w:t>митохондриальной ДНК. При этом, соответственно, нарушается работа всей митохондрии.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  <w:b/>
          <w:bCs/>
        </w:rPr>
        <w:t>Генетические причины синдрома MELAS</w:t>
      </w:r>
    </w:p>
    <w:p w:rsidR="009F563E" w:rsidRDefault="001F76E9">
      <w:pPr>
        <w:pStyle w:val="Standard"/>
        <w:numPr>
          <w:ilvl w:val="0"/>
          <w:numId w:val="4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  <w:i/>
          <w:iCs/>
        </w:rPr>
        <w:t>Мутации в митохондриальной ДНК (мтДНК)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Наиболее частая причина (~80% случаев) — мутация m.3243A&gt;G (замена аденина на гуанин в позиции 32</w:t>
      </w:r>
      <w:r>
        <w:rPr>
          <w:rFonts w:ascii="Times New Roman" w:eastAsia="Times New Roman" w:hAnsi="Times New Roman" w:cs="Times New Roman"/>
        </w:rPr>
        <w:t>43) в гене MT-TL1, кодирующем тРНК лейцина (UUR).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Также возможны другие мутации в других типах генов, например таких как MT-ND5 и MT-ND3, однако данные случаи крайне редки по сравнению с вышеописанной мутацией.</w:t>
      </w:r>
    </w:p>
    <w:p w:rsidR="009F563E" w:rsidRDefault="001F76E9">
      <w:pPr>
        <w:pStyle w:val="Standard"/>
        <w:numPr>
          <w:ilvl w:val="0"/>
          <w:numId w:val="2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  <w:i/>
          <w:iCs/>
        </w:rPr>
        <w:t>Ядерные мутации ( очень редко)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 xml:space="preserve">Синдром может </w:t>
      </w:r>
      <w:r>
        <w:rPr>
          <w:rFonts w:ascii="Times New Roman" w:eastAsia="Times New Roman" w:hAnsi="Times New Roman" w:cs="Times New Roman"/>
        </w:rPr>
        <w:t>быть вызван мутациями в ядерных генах, влияющих на работу митохондрий:</w:t>
      </w:r>
    </w:p>
    <w:p w:rsidR="009F563E" w:rsidRDefault="001F76E9">
      <w:pPr>
        <w:pStyle w:val="Standard"/>
        <w:numPr>
          <w:ilvl w:val="0"/>
          <w:numId w:val="5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POLG (полимераза y, участвующая в репликации мтДНК)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TWNK (ген, связанный с поддержанием мтДНК)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Гены, кодирующие белки дыхательной цепи (например, NDUFA1, SDHA).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  <w:b/>
          <w:bCs/>
        </w:rPr>
        <w:t>В синдроме MELAS ключеву</w:t>
      </w:r>
      <w:r>
        <w:rPr>
          <w:rFonts w:ascii="Times New Roman" w:eastAsia="Times New Roman" w:hAnsi="Times New Roman" w:cs="Times New Roman"/>
          <w:b/>
          <w:bCs/>
        </w:rPr>
        <w:t>ю роль играют митохондрии</w:t>
      </w:r>
      <w:r>
        <w:rPr>
          <w:rFonts w:ascii="Times New Roman" w:eastAsia="Times New Roman" w:hAnsi="Times New Roman" w:cs="Times New Roman"/>
        </w:rPr>
        <w:t>, как было описано выше. Если разбирать более подробно, то роль митохондрий в развитии синдрома заключается в том, что из-за мутаций нарушается синтез митохондриальных белков, участвующих в ключевой для образования аденозинтрифосфо</w:t>
      </w:r>
      <w:r>
        <w:rPr>
          <w:rFonts w:ascii="Times New Roman" w:eastAsia="Times New Roman" w:hAnsi="Times New Roman" w:cs="Times New Roman"/>
        </w:rPr>
        <w:t>рной кислоты (АТФ) цепи транспорта электронов. Это приводит к развитию энергодефицита.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Поскольку митохондрии представлены практически во всех клетках организма, поражение носит мультисистемный характер. Сильнее всего страдают органы и ткани с высокой энер</w:t>
      </w:r>
      <w:r>
        <w:rPr>
          <w:rFonts w:ascii="Times New Roman" w:eastAsia="Times New Roman" w:hAnsi="Times New Roman" w:cs="Times New Roman"/>
        </w:rPr>
        <w:t>гетической потребностью: центральная и периферическая нервная система, миокард, скелетные мышцы.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  <w:b/>
          <w:bCs/>
        </w:rPr>
        <w:t>Для синдрома характерно материнское наследование</w:t>
      </w:r>
      <w:r>
        <w:rPr>
          <w:rFonts w:ascii="Times New Roman" w:eastAsia="Times New Roman" w:hAnsi="Times New Roman" w:cs="Times New Roman"/>
        </w:rPr>
        <w:t xml:space="preserve"> (если речь идет о мутациях мтДНК) — заболевание передаётся только от матери, так как митохондрии наследуются </w:t>
      </w:r>
      <w:r>
        <w:rPr>
          <w:rFonts w:ascii="Times New Roman" w:eastAsia="Times New Roman" w:hAnsi="Times New Roman" w:cs="Times New Roman"/>
        </w:rPr>
        <w:t xml:space="preserve">из ооцита. Также характерна </w:t>
      </w:r>
      <w:r>
        <w:rPr>
          <w:rFonts w:ascii="Times New Roman" w:eastAsia="Times New Roman" w:hAnsi="Times New Roman" w:cs="Times New Roman"/>
          <w:b/>
          <w:bCs/>
        </w:rPr>
        <w:t>гетероплазмия</w:t>
      </w:r>
      <w:r>
        <w:rPr>
          <w:rFonts w:ascii="Times New Roman" w:eastAsia="Times New Roman" w:hAnsi="Times New Roman" w:cs="Times New Roman"/>
        </w:rPr>
        <w:t xml:space="preserve"> — у пациентов присутствуют как мутантные, так и нормальные копии мтДНК. Выраженность симптомов зависит от доли мутантной ДНК в тканях.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  <w:b/>
          <w:bCs/>
        </w:rPr>
        <w:t>Симптоматика</w:t>
      </w:r>
    </w:p>
    <w:p w:rsidR="009F563E" w:rsidRDefault="001F76E9">
      <w:pPr>
        <w:pStyle w:val="Standard"/>
        <w:numPr>
          <w:ilvl w:val="0"/>
          <w:numId w:val="6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  <w:i/>
          <w:iCs/>
        </w:rPr>
        <w:t>Неврологические проявления</w:t>
      </w:r>
    </w:p>
    <w:p w:rsidR="009F563E" w:rsidRDefault="001F76E9">
      <w:pPr>
        <w:pStyle w:val="Standard"/>
        <w:numPr>
          <w:ilvl w:val="0"/>
          <w:numId w:val="7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 xml:space="preserve">Инсультоподобные эпизоды – ключевой </w:t>
      </w:r>
      <w:r>
        <w:rPr>
          <w:rFonts w:ascii="Times New Roman" w:eastAsia="Times New Roman" w:hAnsi="Times New Roman" w:cs="Times New Roman"/>
        </w:rPr>
        <w:t>симптом: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Внезапная слабость, потеря зрения, нарушение речи, судороги.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lastRenderedPageBreak/>
        <w:t>Чаще поражаются затылочные и теменные доли мозга (на МРТ данные доли будут гиперинтенсивными очагами).</w:t>
      </w:r>
    </w:p>
    <w:p w:rsidR="009F563E" w:rsidRDefault="001F76E9">
      <w:pPr>
        <w:pStyle w:val="Standard"/>
        <w:numPr>
          <w:ilvl w:val="0"/>
          <w:numId w:val="8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Эпилептические приступы (часто резистентные к терапии).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Мигренеподобные головные б</w:t>
      </w:r>
      <w:r>
        <w:rPr>
          <w:rFonts w:ascii="Times New Roman" w:eastAsia="Times New Roman" w:hAnsi="Times New Roman" w:cs="Times New Roman"/>
        </w:rPr>
        <w:t>оли.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Когнитивные нарушения (деменция, снижение памяти).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Атаксия (нарушение координации).</w:t>
      </w:r>
    </w:p>
    <w:p w:rsidR="009F563E" w:rsidRDefault="001F76E9">
      <w:pPr>
        <w:pStyle w:val="Standard"/>
        <w:numPr>
          <w:ilvl w:val="0"/>
          <w:numId w:val="2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  <w:i/>
          <w:iCs/>
        </w:rPr>
        <w:t>Мышечные симптомы</w:t>
      </w:r>
    </w:p>
    <w:p w:rsidR="009F563E" w:rsidRDefault="001F76E9">
      <w:pPr>
        <w:pStyle w:val="Standard"/>
        <w:numPr>
          <w:ilvl w:val="0"/>
          <w:numId w:val="9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Миопатии (слабость, непереносимость физических нагрузок).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 xml:space="preserve">Птоз (опущение век) и офтальмоплегия (нарушение движений глаз) – встречается, но реже, чем </w:t>
      </w:r>
      <w:r>
        <w:rPr>
          <w:rFonts w:ascii="Times New Roman" w:eastAsia="Times New Roman" w:hAnsi="Times New Roman" w:cs="Times New Roman"/>
        </w:rPr>
        <w:t>при других митохондриальных болезнях (например, синдроме Кернса-Сейра).</w:t>
      </w:r>
    </w:p>
    <w:p w:rsidR="009F563E" w:rsidRDefault="001F76E9">
      <w:pPr>
        <w:pStyle w:val="Standard"/>
        <w:numPr>
          <w:ilvl w:val="0"/>
          <w:numId w:val="2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  <w:i/>
          <w:iCs/>
        </w:rPr>
        <w:t>Метаболические нарушения</w:t>
      </w:r>
    </w:p>
    <w:p w:rsidR="009F563E" w:rsidRDefault="001F76E9">
      <w:pPr>
        <w:pStyle w:val="Standard"/>
        <w:numPr>
          <w:ilvl w:val="0"/>
          <w:numId w:val="10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Лактат-ацидоз (повышенный уровень лактата в крови и ликворе).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Рвота, тошнота (из-за метаболического криза).</w:t>
      </w:r>
    </w:p>
    <w:p w:rsidR="009F563E" w:rsidRDefault="001F76E9">
      <w:pPr>
        <w:pStyle w:val="Standard"/>
        <w:numPr>
          <w:ilvl w:val="0"/>
          <w:numId w:val="2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  <w:i/>
          <w:iCs/>
        </w:rPr>
        <w:t>Другие системные проявления</w:t>
      </w:r>
    </w:p>
    <w:p w:rsidR="009F563E" w:rsidRDefault="001F76E9">
      <w:pPr>
        <w:pStyle w:val="Standard"/>
        <w:numPr>
          <w:ilvl w:val="0"/>
          <w:numId w:val="1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 xml:space="preserve">Сенсорная тугоухость </w:t>
      </w:r>
      <w:r>
        <w:rPr>
          <w:rFonts w:ascii="Times New Roman" w:eastAsia="Times New Roman" w:hAnsi="Times New Roman" w:cs="Times New Roman"/>
        </w:rPr>
        <w:t>(нейросенсорная глухота).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Сахарный диабет (из-за дисфункции бета-клеток поджелудочной железы).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Кардиомиопатия (гипертрофическая, нарушения проводимости).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Задержка роста (у детей).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Поражение почек (тубулопатии, синдром Фанкони).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Проявление синдрома начинает</w:t>
      </w:r>
      <w:r>
        <w:rPr>
          <w:rFonts w:ascii="Times New Roman" w:eastAsia="Times New Roman" w:hAnsi="Times New Roman" w:cs="Times New Roman"/>
        </w:rPr>
        <w:t>ся чаще всего с детского возраста: 2-15 лет, но бывают и более поздние исключения. Первые симптомы могут быть неспецифичны: судороги, мышечная слабость, головные боли. Это делает заболевание еще более опасным: на начальных стадиях его не всегда удаётся выя</w:t>
      </w:r>
      <w:r>
        <w:rPr>
          <w:rFonts w:ascii="Times New Roman" w:eastAsia="Times New Roman" w:hAnsi="Times New Roman" w:cs="Times New Roman"/>
        </w:rPr>
        <w:t>вить.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  <w:b/>
          <w:bCs/>
        </w:rPr>
        <w:t>Диагностика:</w:t>
      </w:r>
    </w:p>
    <w:p w:rsidR="009F563E" w:rsidRDefault="001F76E9">
      <w:pPr>
        <w:pStyle w:val="Standard"/>
        <w:numPr>
          <w:ilvl w:val="0"/>
          <w:numId w:val="12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Клиническое обследование. Врач анализирует симптомы и медицинскую историю пациента.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Генетическое тестирование. Проводится анализ ДНК пациента, чтобы выявить мутации в генах, ответственных за синдром MELAS.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Исследования изображений. Испол</w:t>
      </w:r>
      <w:r>
        <w:rPr>
          <w:rFonts w:ascii="Times New Roman" w:eastAsia="Times New Roman" w:hAnsi="Times New Roman" w:cs="Times New Roman"/>
        </w:rPr>
        <w:t>ьзуются МРТ головного мозга для выявления изменений, связанных с инсультоподобными эпизодами (поражение затылочных и теменных зон), а также электроэнцефалограмма (ЭЭГ) для оценки электрической активности мозга.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 xml:space="preserve">Биохимические тесты. Включают анализ уровня </w:t>
      </w:r>
      <w:r>
        <w:rPr>
          <w:rFonts w:ascii="Times New Roman" w:eastAsia="Times New Roman" w:hAnsi="Times New Roman" w:cs="Times New Roman"/>
        </w:rPr>
        <w:t>молочной кислоты в крови и других биохимических параметров для оценки нарушений митохондриальной функции.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Оценка функции сердца. Проводится с помощью эхокардиографии для оценки состояния сердечной деятельности.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 xml:space="preserve">Лабораторные исследования. К ним относятся: </w:t>
      </w:r>
      <w:r>
        <w:rPr>
          <w:rFonts w:ascii="Times New Roman" w:eastAsia="Times New Roman" w:hAnsi="Times New Roman" w:cs="Times New Roman"/>
        </w:rPr>
        <w:t>клинические анализы крови и мочи для оценки общего состояния организма, биохимический анализ крови, гистохимический анализ биоптата мышечной ткани и другие.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Физикальный осмотр. Позволяет обнаружить, например, снижение кровяного давления, низкий рост, дистр</w:t>
      </w:r>
      <w:r>
        <w:rPr>
          <w:rFonts w:ascii="Times New Roman" w:eastAsia="Times New Roman" w:hAnsi="Times New Roman" w:cs="Times New Roman"/>
        </w:rPr>
        <w:t>офию мышц.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  <w:b/>
          <w:bCs/>
        </w:rPr>
        <w:t>Лечение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 xml:space="preserve"> Радикальное лечение синдрома MELAS не разработано, все методы терапии направлены на улучшение состояния пациента и носят паллиативный характер.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Некоторые подходы к ослаблению симптомов заболевания:</w:t>
      </w:r>
    </w:p>
    <w:p w:rsidR="009F563E" w:rsidRDefault="001F76E9">
      <w:pPr>
        <w:pStyle w:val="Standard"/>
        <w:numPr>
          <w:ilvl w:val="0"/>
          <w:numId w:val="1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Диета с ограничением содержания углев</w:t>
      </w:r>
      <w:r>
        <w:rPr>
          <w:rFonts w:ascii="Times New Roman" w:eastAsia="Times New Roman" w:hAnsi="Times New Roman" w:cs="Times New Roman"/>
        </w:rPr>
        <w:t>одов. Это необходимо для снижения уровня глюкозы, негативно влияющей на параметры энергетического обмена, и для коррекции сахарного диабета.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Приём метаболических препаратов. Назначают янтарную кислоту, никотинамид, коэнзим Q10, витамины С, Е, D и В-2.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Ис</w:t>
      </w:r>
      <w:r>
        <w:rPr>
          <w:rFonts w:ascii="Times New Roman" w:eastAsia="Times New Roman" w:hAnsi="Times New Roman" w:cs="Times New Roman"/>
        </w:rPr>
        <w:t>пользование предшественников и донаторов оксида азота. Во время инсультоподобного эпизода применяют медикаменты, повышающие уровень оксида азота в крови (L-аргинин, цитруллин).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Применение препаратов для коррекции кислотно-щелочного баланса. Используют сре</w:t>
      </w:r>
      <w:r>
        <w:rPr>
          <w:rFonts w:ascii="Times New Roman" w:eastAsia="Times New Roman" w:hAnsi="Times New Roman" w:cs="Times New Roman"/>
        </w:rPr>
        <w:t>дства, снижающие уровень лактата в крови (корректоры лактат-ацидоза).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Использование глюкокортикостероидов. Применение гормонов коры надпочечников (преднизолон) приводит к значительному регрессу неврологической симптоматики.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Средства для коррекции гормона</w:t>
      </w:r>
      <w:r>
        <w:rPr>
          <w:rFonts w:ascii="Times New Roman" w:eastAsia="Times New Roman" w:hAnsi="Times New Roman" w:cs="Times New Roman"/>
        </w:rPr>
        <w:t>льных нарушений. При развитии сахарного диабета рекомендуют сахароснижающие препараты (метформин, глибенкламид), а при их неэффективности — инсулинотерапию.</w:t>
      </w:r>
    </w:p>
    <w:p w:rsidR="009F563E" w:rsidRDefault="001F76E9">
      <w:pPr>
        <w:pStyle w:val="Standard"/>
        <w:numPr>
          <w:ilvl w:val="0"/>
          <w:numId w:val="3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Симптоматическое медикаментозное лечение. Включает назначение обезболивающих препаратов при интенс</w:t>
      </w:r>
      <w:r>
        <w:rPr>
          <w:rFonts w:ascii="Times New Roman" w:eastAsia="Times New Roman" w:hAnsi="Times New Roman" w:cs="Times New Roman"/>
        </w:rPr>
        <w:t>ивной головной боли, антипсихотической или седативной терапии, когда преобладают психические нарушения.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Следует избегать применения препаратов, угнетающих митохондриальную функцию (барбитураты, хлорамфеникол, статины), поскольку это приводит к ухудшению с</w:t>
      </w:r>
      <w:r>
        <w:rPr>
          <w:rFonts w:ascii="Times New Roman" w:eastAsia="Times New Roman" w:hAnsi="Times New Roman" w:cs="Times New Roman"/>
        </w:rPr>
        <w:t>остояния больного.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Пациенты с синдромом MELAS должны регулярно наблюдаться у многопрофильных специалистов, которые должны исключить прогрессирование заболевания и появление новых симптомов.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  <w:b/>
          <w:bCs/>
        </w:rPr>
        <w:t>Ожидаемая продолжительность жизни и качество жизни пациентов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Ожи</w:t>
      </w:r>
      <w:r>
        <w:rPr>
          <w:rFonts w:ascii="Times New Roman" w:eastAsia="Times New Roman" w:hAnsi="Times New Roman" w:cs="Times New Roman"/>
        </w:rPr>
        <w:t>даемая продолжительность жизни зависит от формы синдрома:</w:t>
      </w:r>
    </w:p>
    <w:p w:rsidR="009F563E" w:rsidRDefault="001F76E9">
      <w:pPr>
        <w:pStyle w:val="Standard"/>
        <w:numPr>
          <w:ilvl w:val="0"/>
          <w:numId w:val="14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У людей с бессимптомным носительством и олигосимптоматической формой продолжительность жизни не отличается от таковой в общей популяции.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 xml:space="preserve">При манифестной форме, по различным данным, срок жизни </w:t>
      </w:r>
      <w:r>
        <w:rPr>
          <w:rFonts w:ascii="Times New Roman" w:eastAsia="Times New Roman" w:hAnsi="Times New Roman" w:cs="Times New Roman"/>
        </w:rPr>
        <w:t>составляет от 7 до 40 лет с момента дебюта болезни.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Основные причины летальности при синдроме MELAS</w:t>
      </w:r>
      <w:r>
        <w:rPr>
          <w:rFonts w:ascii="Times New Roman" w:eastAsia="Times New Roman" w:hAnsi="Times New Roman" w:cs="Times New Roman"/>
        </w:rPr>
        <w:t xml:space="preserve"> — эпилептический статус, почечная недостаточность и кардиомиопатия.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Качество жизни пациентов с синдромом MELAS</w:t>
      </w:r>
      <w:r>
        <w:rPr>
          <w:rFonts w:ascii="Times New Roman" w:eastAsia="Times New Roman" w:hAnsi="Times New Roman" w:cs="Times New Roman"/>
        </w:rPr>
        <w:t xml:space="preserve"> может быть ухудшено из-за широкого спектра н</w:t>
      </w:r>
      <w:r>
        <w:rPr>
          <w:rFonts w:ascii="Times New Roman" w:eastAsia="Times New Roman" w:hAnsi="Times New Roman" w:cs="Times New Roman"/>
        </w:rPr>
        <w:t>еблагоприятных последствий заболевания. Некоторые из них:</w:t>
      </w:r>
    </w:p>
    <w:p w:rsidR="009F563E" w:rsidRDefault="001F76E9">
      <w:pPr>
        <w:pStyle w:val="Standard"/>
        <w:numPr>
          <w:ilvl w:val="0"/>
          <w:numId w:val="15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Нейросенсорная тугоухость и атрофия зрительного нерва могут привести к полной потере слуха и зрения.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У больных повышен риск развития жизнеугрожающих нарушений ритма (желудочковая тахикардия, фибрилл</w:t>
      </w:r>
      <w:r>
        <w:rPr>
          <w:rFonts w:ascii="Times New Roman" w:eastAsia="Times New Roman" w:hAnsi="Times New Roman" w:cs="Times New Roman"/>
        </w:rPr>
        <w:t>яция), остановки сердца.</w:t>
      </w:r>
    </w:p>
    <w:p w:rsidR="009F563E" w:rsidRDefault="001F76E9">
      <w:pPr>
        <w:pStyle w:val="Standard"/>
        <w:numPr>
          <w:ilvl w:val="0"/>
          <w:numId w:val="1"/>
        </w:numPr>
        <w:spacing w:line="276" w:lineRule="auto"/>
        <w:ind w:left="0" w:right="227" w:firstLine="425"/>
      </w:pPr>
      <w:r>
        <w:rPr>
          <w:rFonts w:ascii="Times New Roman" w:eastAsia="Times New Roman" w:hAnsi="Times New Roman" w:cs="Times New Roman"/>
        </w:rPr>
        <w:t>В единичных случаях возникает кишечная непроходимость, хроническая почечная и печёночная недостаточность.</w:t>
      </w:r>
    </w:p>
    <w:p w:rsidR="009F563E" w:rsidRDefault="001F76E9">
      <w:pPr>
        <w:pStyle w:val="Standard"/>
        <w:spacing w:line="276" w:lineRule="auto"/>
        <w:ind w:right="227" w:firstLine="425"/>
      </w:pPr>
      <w:r>
        <w:rPr>
          <w:rFonts w:ascii="Times New Roman" w:eastAsia="Times New Roman" w:hAnsi="Times New Roman" w:cs="Times New Roman"/>
        </w:rPr>
        <w:t>Однако эти симптомы могут быть слабовыраженными, если в тканях присутствует малая доля мутантной ДНК. В таком случае при прав</w:t>
      </w:r>
      <w:r>
        <w:rPr>
          <w:rFonts w:ascii="Times New Roman" w:eastAsia="Times New Roman" w:hAnsi="Times New Roman" w:cs="Times New Roman"/>
        </w:rPr>
        <w:t>ильном лечении пациент может чувствовать себя нормально.</w:t>
      </w:r>
    </w:p>
    <w:sectPr w:rsidR="009F563E">
      <w:pgSz w:w="11906" w:h="16838"/>
      <w:pgMar w:top="1134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76E9">
      <w:r>
        <w:separator/>
      </w:r>
    </w:p>
  </w:endnote>
  <w:endnote w:type="continuationSeparator" w:id="0">
    <w:p w:rsidR="00000000" w:rsidRDefault="001F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76E9">
      <w:r>
        <w:separator/>
      </w:r>
    </w:p>
  </w:footnote>
  <w:footnote w:type="continuationSeparator" w:id="0">
    <w:p w:rsidR="00000000" w:rsidRDefault="001F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2612"/>
    <w:multiLevelType w:val="multilevel"/>
    <w:tmpl w:val="98C2C2E4"/>
    <w:styleLink w:val="num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420E1F"/>
    <w:multiLevelType w:val="multilevel"/>
    <w:tmpl w:val="F858F69C"/>
    <w:styleLink w:val="numList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047F87"/>
    <w:multiLevelType w:val="multilevel"/>
    <w:tmpl w:val="79E48E8C"/>
    <w:styleLink w:val="num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/>
  </w:num>
  <w:num w:numId="8">
    <w:abstractNumId w:val="1"/>
    <w:lvlOverride w:ilvl="0"/>
  </w:num>
  <w:num w:numId="9">
    <w:abstractNumId w:val="1"/>
    <w:lvlOverride w:ilvl="0"/>
  </w:num>
  <w:num w:numId="10">
    <w:abstractNumId w:val="1"/>
    <w:lvlOverride w:ilvl="0"/>
  </w:num>
  <w:num w:numId="11">
    <w:abstractNumId w:val="1"/>
    <w:lvlOverride w:ilvl="0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  <w:lvlOverride w:ilvl="0"/>
  </w:num>
  <w:num w:numId="1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F563E"/>
    <w:rsid w:val="001F76E9"/>
    <w:rsid w:val="009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D515ADE-02F0-4D87-A89B-DF6FC289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XO Thames" w:hAnsi="XO Thames" w:cs="XO Thames"/>
        <w:color w:val="000000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spacing w:before="120" w:after="120"/>
      <w:outlineLvl w:val="0"/>
    </w:pPr>
    <w:rPr>
      <w:b/>
      <w:bCs/>
      <w:sz w:val="32"/>
      <w:szCs w:val="32"/>
    </w:rPr>
  </w:style>
  <w:style w:type="paragraph" w:styleId="Heading2">
    <w:name w:val="heading 2"/>
    <w:basedOn w:val="Standard"/>
    <w:next w:val="Standard"/>
    <w:pPr>
      <w:spacing w:before="120" w:after="120"/>
      <w:outlineLvl w:val="1"/>
    </w:pPr>
    <w:rPr>
      <w:b/>
      <w:bCs/>
    </w:rPr>
  </w:style>
  <w:style w:type="paragraph" w:styleId="Heading3">
    <w:name w:val="heading 3"/>
    <w:basedOn w:val="Standard"/>
    <w:next w:val="Standard"/>
    <w:pPr>
      <w:spacing w:before="120" w:after="120"/>
      <w:outlineLvl w:val="2"/>
    </w:pPr>
    <w:rPr>
      <w:b/>
      <w:bCs/>
      <w:sz w:val="26"/>
      <w:szCs w:val="26"/>
    </w:rPr>
  </w:style>
  <w:style w:type="paragraph" w:styleId="Heading4">
    <w:name w:val="heading 4"/>
    <w:basedOn w:val="Standard"/>
    <w:next w:val="Standard"/>
    <w:pPr>
      <w:spacing w:before="120" w:after="120"/>
      <w:outlineLvl w:val="3"/>
    </w:pPr>
    <w:rPr>
      <w:b/>
      <w:bCs/>
      <w:sz w:val="24"/>
      <w:szCs w:val="24"/>
    </w:rPr>
  </w:style>
  <w:style w:type="paragraph" w:styleId="Heading5">
    <w:name w:val="heading 5"/>
    <w:basedOn w:val="Standard"/>
    <w:next w:val="Standard"/>
    <w:pPr>
      <w:spacing w:before="120" w:after="120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  <w:jc w:val="left"/>
    </w:pPr>
  </w:style>
  <w:style w:type="paragraph" w:customStyle="1" w:styleId="Contents4">
    <w:name w:val="Contents 4"/>
    <w:basedOn w:val="Standard"/>
    <w:next w:val="Standard"/>
    <w:pPr>
      <w:ind w:left="600"/>
      <w:jc w:val="left"/>
    </w:pPr>
  </w:style>
  <w:style w:type="paragraph" w:customStyle="1" w:styleId="Contents6">
    <w:name w:val="Contents 6"/>
    <w:basedOn w:val="Standard"/>
    <w:next w:val="Standard"/>
    <w:pPr>
      <w:ind w:left="1000"/>
      <w:jc w:val="left"/>
    </w:pPr>
  </w:style>
  <w:style w:type="paragraph" w:customStyle="1" w:styleId="Contents7">
    <w:name w:val="Contents 7"/>
    <w:basedOn w:val="Standard"/>
    <w:next w:val="Standard"/>
    <w:pPr>
      <w:ind w:left="1200"/>
      <w:jc w:val="left"/>
    </w:pPr>
  </w:style>
  <w:style w:type="paragraph" w:customStyle="1" w:styleId="Standard">
    <w:name w:val="Standard"/>
    <w:pPr>
      <w:jc w:val="both"/>
    </w:pPr>
    <w:rPr>
      <w:sz w:val="28"/>
      <w:szCs w:val="28"/>
    </w:rPr>
  </w:style>
  <w:style w:type="paragraph" w:customStyle="1" w:styleId="Contents3">
    <w:name w:val="Contents 3"/>
    <w:basedOn w:val="Standard"/>
    <w:next w:val="Standard"/>
    <w:pPr>
      <w:ind w:left="400"/>
      <w:jc w:val="left"/>
    </w:p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basedOn w:val="Standard"/>
    <w:next w:val="Standard"/>
    <w:pPr>
      <w:jc w:val="left"/>
    </w:pPr>
    <w:rPr>
      <w:b/>
      <w:bCs/>
    </w:rPr>
  </w:style>
  <w:style w:type="paragraph" w:customStyle="1" w:styleId="HeaderandFooter">
    <w:name w:val="Header and Footer"/>
    <w:pPr>
      <w:jc w:val="both"/>
    </w:pPr>
    <w:rPr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00"/>
      <w:jc w:val="left"/>
    </w:pPr>
  </w:style>
  <w:style w:type="paragraph" w:customStyle="1" w:styleId="Contents8">
    <w:name w:val="Contents 8"/>
    <w:basedOn w:val="Standard"/>
    <w:next w:val="Standard"/>
    <w:pPr>
      <w:ind w:left="1400"/>
      <w:jc w:val="left"/>
    </w:pPr>
  </w:style>
  <w:style w:type="paragraph" w:customStyle="1" w:styleId="Contents5">
    <w:name w:val="Contents 5"/>
    <w:basedOn w:val="Standard"/>
    <w:next w:val="Standard"/>
    <w:pPr>
      <w:ind w:left="800"/>
      <w:jc w:val="left"/>
    </w:pPr>
  </w:style>
  <w:style w:type="paragraph" w:styleId="Subtitle">
    <w:name w:val="Subtitle"/>
    <w:basedOn w:val="Standard"/>
    <w:next w:val="Standard"/>
    <w:rPr>
      <w:i/>
      <w:iCs/>
      <w:sz w:val="24"/>
      <w:szCs w:val="24"/>
    </w:rPr>
  </w:style>
  <w:style w:type="paragraph" w:styleId="Title">
    <w:name w:val="Title"/>
    <w:basedOn w:val="Standard"/>
    <w:next w:val="Standard"/>
    <w:pPr>
      <w:spacing w:before="567" w:after="567"/>
      <w:jc w:val="center"/>
    </w:pPr>
    <w:rPr>
      <w:b/>
      <w:bCs/>
      <w:caps/>
      <w:sz w:val="40"/>
      <w:szCs w:val="40"/>
    </w:rPr>
  </w:style>
  <w:style w:type="numbering" w:customStyle="1" w:styleId="numList3">
    <w:name w:val="numList_3"/>
    <w:basedOn w:val="NoList"/>
    <w:pPr>
      <w:numPr>
        <w:numId w:val="1"/>
      </w:numPr>
    </w:pPr>
  </w:style>
  <w:style w:type="numbering" w:customStyle="1" w:styleId="numList1">
    <w:name w:val="numList_1"/>
    <w:basedOn w:val="NoList"/>
    <w:pPr>
      <w:numPr>
        <w:numId w:val="2"/>
      </w:numPr>
    </w:pPr>
  </w:style>
  <w:style w:type="numbering" w:customStyle="1" w:styleId="numList2">
    <w:name w:val="numList_2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6120</Characters>
  <Application>Microsoft Office Word</Application>
  <DocSecurity>4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2025-06-03T13:42:00Z</dcterms:created>
  <dcterms:modified xsi:type="dcterms:W3CDTF">2025-06-03T13:42:00Z</dcterms:modified>
</cp:coreProperties>
</file>