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964CE">
      <w:pPr>
        <w:spacing w:before="240" w:line="288" w:lineRule="auto"/>
      </w:pPr>
    </w:p>
    <w:p w14:paraId="5E3D8BA1">
      <w:pPr>
        <w:spacing w:before="240" w:line="271" w:lineRule="auto"/>
        <w:rPr>
          <w:sz w:val="13"/>
          <w:szCs w:val="15"/>
        </w:rPr>
      </w:pPr>
      <w:bookmarkStart w:id="0" w:name="задача_1_1_й_тип_анализ_и_коррекц_f7fa74"/>
      <w:r>
        <w:rPr>
          <w:rFonts w:ascii="Georgia" w:hAnsi="Georgia" w:eastAsia="Georgia" w:cs="Georgia"/>
          <w:b/>
          <w:sz w:val="24"/>
          <w:szCs w:val="15"/>
        </w:rPr>
        <w:t xml:space="preserve">Задача 1 </w:t>
      </w:r>
      <w:bookmarkEnd w:id="0"/>
    </w:p>
    <w:p w14:paraId="22C49071">
      <w:pPr>
        <w:spacing w:after="210"/>
        <w:rPr>
          <w:sz w:val="16"/>
          <w:szCs w:val="18"/>
        </w:rPr>
      </w:pPr>
      <w:r>
        <w:rPr>
          <w:rFonts w:ascii="Georgia" w:hAnsi="Georgia" w:eastAsia="Georgia" w:cs="Georgia"/>
          <w:sz w:val="16"/>
          <w:szCs w:val="18"/>
        </w:rPr>
        <w:t>Представьте решение задачи с пояснениями.</w:t>
      </w:r>
    </w:p>
    <w:p w14:paraId="5761155A">
      <w:pPr>
        <w:spacing w:after="210"/>
        <w:rPr>
          <w:sz w:val="16"/>
          <w:szCs w:val="18"/>
        </w:rPr>
      </w:pPr>
      <w:r>
        <w:rPr>
          <w:b/>
          <w:sz w:val="16"/>
          <w:szCs w:val="18"/>
        </w:rPr>
        <w:t>Верно ли приведены механизмы и последовательность процессов при развитии таргетной резистентности опухоли к ингибитору тирозинкиназы EGFR при немелкоклеточном раке лёгкого:</w:t>
      </w:r>
    </w:p>
    <w:p w14:paraId="76DA3B05">
      <w:pPr>
        <w:spacing w:after="210"/>
        <w:rPr>
          <w:rFonts w:ascii="Georgia" w:hAnsi="Georgia" w:eastAsia="Georgia" w:cs="Georgia"/>
          <w:sz w:val="16"/>
          <w:szCs w:val="18"/>
        </w:rPr>
      </w:pPr>
      <w:r>
        <w:rPr>
          <w:rFonts w:ascii="Georgia" w:hAnsi="Georgia" w:eastAsia="Georgia" w:cs="Georgia"/>
          <w:sz w:val="16"/>
          <w:szCs w:val="18"/>
        </w:rPr>
        <w:t>Первичная активирующая мутация EGFR → назначение ингибитора EGFR → полная эрадикация всех опухолевых клеток → отсутствие новых мутаций → длительная стойкая ремиссия без риска прогрессирования?</w:t>
      </w:r>
    </w:p>
    <w:p w14:paraId="342342FB">
      <w:pPr>
        <w:spacing w:after="210"/>
        <w:rPr>
          <w:sz w:val="16"/>
          <w:szCs w:val="18"/>
        </w:rPr>
      </w:pPr>
      <w:r>
        <w:rPr>
          <w:rFonts w:ascii="Georgia" w:hAnsi="Georgia" w:eastAsia="Georgia" w:cs="Georgia"/>
          <w:sz w:val="16"/>
          <w:szCs w:val="18"/>
        </w:rPr>
        <w:t>Уточните, какие молекулярные события реально происходят на этапах назначения таргетного препарата, формирования вторичных мутаций в EGFR или активации обходных путей (MET, RAS/RAF/MEK и др.), клональной селекции и клинического прогрессирования.</w:t>
      </w:r>
    </w:p>
    <w:p w14:paraId="43270376"/>
    <w:p w14:paraId="376CB1AF">
      <w:pPr>
        <w:spacing w:before="240" w:line="271" w:lineRule="auto"/>
        <w:rPr>
          <w:sz w:val="13"/>
          <w:szCs w:val="15"/>
        </w:rPr>
      </w:pPr>
      <w:bookmarkStart w:id="1" w:name="задача_2_1_й_тип_анализ_и_коррекц_ef8720"/>
      <w:r>
        <w:rPr>
          <w:rFonts w:ascii="Georgia" w:hAnsi="Georgia" w:eastAsia="Georgia" w:cs="Georgia"/>
          <w:b/>
          <w:sz w:val="24"/>
          <w:szCs w:val="15"/>
        </w:rPr>
        <w:t xml:space="preserve">Задача 2 </w:t>
      </w:r>
      <w:bookmarkEnd w:id="1"/>
    </w:p>
    <w:p w14:paraId="7FDDAD29">
      <w:pPr>
        <w:spacing w:after="210"/>
        <w:rPr>
          <w:sz w:val="16"/>
          <w:szCs w:val="16"/>
        </w:rPr>
      </w:pPr>
      <w:r>
        <w:rPr>
          <w:rFonts w:ascii="Georgia" w:hAnsi="Georgia" w:eastAsia="Georgia" w:cs="Georgia"/>
          <w:sz w:val="16"/>
          <w:szCs w:val="16"/>
        </w:rPr>
        <w:t>Представьте решение задачи с пояснениями.</w:t>
      </w:r>
    </w:p>
    <w:p w14:paraId="56514420">
      <w:pPr>
        <w:spacing w:after="210"/>
        <w:rPr>
          <w:sz w:val="16"/>
          <w:szCs w:val="16"/>
        </w:rPr>
      </w:pPr>
      <w:r>
        <w:rPr>
          <w:b/>
          <w:sz w:val="16"/>
          <w:szCs w:val="16"/>
        </w:rPr>
        <w:t>Верно ли приведены механизмы и последовательность процессов при развитии опухоли у пациента с наследственным дефектом системы репарации ДНК (например, BRCA1/2):</w:t>
      </w:r>
    </w:p>
    <w:p w14:paraId="23796F54">
      <w:pPr>
        <w:spacing w:after="210"/>
        <w:rPr>
          <w:rFonts w:ascii="Georgia" w:hAnsi="Georgia" w:eastAsia="Georgia" w:cs="Georgia"/>
          <w:sz w:val="16"/>
          <w:szCs w:val="16"/>
        </w:rPr>
      </w:pPr>
      <w:r>
        <w:rPr>
          <w:rFonts w:ascii="Georgia" w:hAnsi="Georgia" w:eastAsia="Georgia" w:cs="Georgia"/>
          <w:sz w:val="16"/>
          <w:szCs w:val="16"/>
        </w:rPr>
        <w:t>Герминальная мутация в гене BRCA → усиление точности репарации ДНК → снижение частоты мутаций в соматических клетках → уменьшение риска рака молочной железы и яичников → отсутствие необходимости в таргетной терапии (например, ингибиторами PARP)?</w:t>
      </w:r>
    </w:p>
    <w:p w14:paraId="0C79B6C9">
      <w:pPr>
        <w:spacing w:after="210"/>
        <w:rPr>
          <w:sz w:val="16"/>
          <w:szCs w:val="16"/>
        </w:rPr>
      </w:pPr>
      <w:r>
        <w:rPr>
          <w:sz w:val="16"/>
          <w:szCs w:val="16"/>
        </w:rPr>
        <w:br w:type="textWrapping"/>
      </w:r>
      <w:r>
        <w:rPr>
          <w:rFonts w:ascii="Georgia" w:hAnsi="Georgia" w:eastAsia="Georgia" w:cs="Georgia"/>
          <w:sz w:val="16"/>
          <w:szCs w:val="16"/>
        </w:rPr>
        <w:t>Скорректируйте направление эффектов: как дефект репарации влияет на накопление мутаций, геномную нестабильность, риск опухоли и почему такие опухоли чувствительны к препаратам, усиливающим повреждение ДНК (синтетическая летальность с PARP‑ингибиторами).</w:t>
      </w:r>
    </w:p>
    <w:p w14:paraId="1F532000"/>
    <w:p w14:paraId="1EAEC7CF">
      <w:pPr>
        <w:spacing w:before="240" w:line="271" w:lineRule="auto"/>
        <w:rPr>
          <w:sz w:val="13"/>
          <w:szCs w:val="15"/>
        </w:rPr>
      </w:pPr>
      <w:bookmarkStart w:id="2" w:name="задача_3_2_й_тип_работа_со_статьё_65cf04"/>
      <w:r>
        <w:rPr>
          <w:rFonts w:ascii="Georgia" w:hAnsi="Georgia" w:eastAsia="Georgia" w:cs="Georgia"/>
          <w:b/>
          <w:sz w:val="24"/>
          <w:szCs w:val="15"/>
        </w:rPr>
        <w:t xml:space="preserve">Задача 3 </w:t>
      </w:r>
      <w:bookmarkEnd w:id="2"/>
    </w:p>
    <w:p w14:paraId="21B63E0C">
      <w:pPr>
        <w:rPr>
          <w:rFonts w:hint="default" w:ascii="Georgia" w:hAnsi="Georgia" w:cs="Georgia"/>
          <w:sz w:val="16"/>
          <w:szCs w:val="16"/>
        </w:rPr>
      </w:pPr>
      <w:r>
        <w:rPr>
          <w:rFonts w:hint="default" w:ascii="Georgia" w:hAnsi="Georgia" w:cs="Georgia"/>
          <w:sz w:val="16"/>
          <w:szCs w:val="16"/>
        </w:rPr>
        <w:t>Ознакомьтесь со статьёй:</w:t>
      </w:r>
    </w:p>
    <w:p w14:paraId="62334653">
      <w:pPr>
        <w:rPr>
          <w:rFonts w:hint="default" w:ascii="Georgia" w:hAnsi="Georgia" w:cs="Georgia"/>
          <w:sz w:val="16"/>
          <w:szCs w:val="16"/>
        </w:rPr>
      </w:pPr>
      <w:r>
        <w:rPr>
          <w:rFonts w:hint="default" w:ascii="Georgia" w:hAnsi="Georgia" w:cs="Georgia"/>
          <w:sz w:val="16"/>
          <w:szCs w:val="16"/>
        </w:rPr>
        <w:t>Brown EJ, Baltimore D. The ATM-Chk2 and ATR-Chk1 pathways in DNA damage response. Nat Rev Mol Cell Biol. 2003;</w:t>
      </w:r>
      <w:r>
        <w:rPr>
          <w:rFonts w:hint="default" w:ascii="Georgia" w:hAnsi="Georgia" w:cs="Georgia"/>
          <w:sz w:val="16"/>
          <w:szCs w:val="16"/>
          <w:lang w:val="ru-RU"/>
        </w:rPr>
        <w:t xml:space="preserve"> </w:t>
      </w:r>
      <w:r>
        <w:rPr>
          <w:rFonts w:hint="default" w:ascii="Georgia" w:hAnsi="Georgia" w:cs="Georgia"/>
          <w:sz w:val="16"/>
          <w:szCs w:val="16"/>
        </w:rPr>
        <w:t>https://pubmed.ncbi.nlm.nih.gov/21034966/</w:t>
      </w:r>
    </w:p>
    <w:p w14:paraId="78F2B148">
      <w:pPr>
        <w:rPr>
          <w:rFonts w:hint="default" w:ascii="Georgia" w:hAnsi="Georgia" w:cs="Georgia"/>
          <w:sz w:val="16"/>
          <w:szCs w:val="16"/>
        </w:rPr>
      </w:pPr>
      <w:r>
        <w:rPr>
          <w:rFonts w:hint="default" w:ascii="Georgia" w:hAnsi="Georgia" w:cs="Georgia"/>
          <w:sz w:val="16"/>
          <w:szCs w:val="16"/>
        </w:rPr>
        <w:t>Ответьте на вопросы:</w:t>
      </w:r>
    </w:p>
    <w:p w14:paraId="123E8D7D">
      <w:pPr>
        <w:numPr>
          <w:ilvl w:val="0"/>
          <w:numId w:val="1"/>
        </w:numPr>
        <w:ind w:left="425" w:leftChars="0" w:hanging="425" w:firstLineChars="0"/>
        <w:rPr>
          <w:rFonts w:hint="default" w:ascii="Georgia" w:hAnsi="Georgia" w:cs="Georgia"/>
          <w:sz w:val="16"/>
          <w:szCs w:val="16"/>
        </w:rPr>
      </w:pPr>
      <w:r>
        <w:rPr>
          <w:rFonts w:hint="default" w:ascii="Georgia" w:hAnsi="Georgia" w:cs="Georgia"/>
          <w:sz w:val="16"/>
          <w:szCs w:val="16"/>
        </w:rPr>
        <w:t>Какова роль путей ATM–Chk2 и ATR–Chk1 в регуляции клеточного цикла и репарации ДНК при повреждении генома (от каких типов повреждений активируются ATM и ATR, какие чекпоинты контролируют Chk1/Chk2)?</w:t>
      </w:r>
    </w:p>
    <w:p w14:paraId="6B13A2CF">
      <w:pPr>
        <w:numPr>
          <w:ilvl w:val="0"/>
          <w:numId w:val="1"/>
        </w:numPr>
        <w:ind w:left="425" w:leftChars="0" w:hanging="425" w:firstLineChars="0"/>
        <w:rPr>
          <w:rFonts w:hint="default" w:ascii="Georgia" w:hAnsi="Georgia" w:cs="Georgia"/>
          <w:sz w:val="16"/>
          <w:szCs w:val="16"/>
        </w:rPr>
      </w:pPr>
      <w:r>
        <w:rPr>
          <w:rFonts w:hint="default" w:ascii="Georgia" w:hAnsi="Georgia" w:cs="Georgia"/>
          <w:sz w:val="16"/>
          <w:szCs w:val="16"/>
        </w:rPr>
        <w:t>Как ATM–Chk2 и ATR–Chk1 взаимодействуют с другими сигнальными путями клетки, включая p53, репарацию двухцепочечных разрывов, контроль репликации и апоптоз?</w:t>
      </w:r>
    </w:p>
    <w:p w14:paraId="14BC039F">
      <w:pPr>
        <w:numPr>
          <w:ilvl w:val="0"/>
          <w:numId w:val="1"/>
        </w:numPr>
        <w:ind w:left="425" w:leftChars="0" w:hanging="425" w:firstLineChars="0"/>
        <w:rPr>
          <w:rFonts w:hint="default" w:ascii="Georgia" w:hAnsi="Georgia" w:cs="Georgia"/>
          <w:sz w:val="16"/>
          <w:szCs w:val="16"/>
        </w:rPr>
      </w:pPr>
      <w:r>
        <w:rPr>
          <w:rFonts w:hint="default" w:ascii="Georgia" w:hAnsi="Georgia" w:cs="Georgia"/>
          <w:sz w:val="16"/>
          <w:szCs w:val="16"/>
        </w:rPr>
        <w:t>Какие потенциальные терапевтические мишени в этих путях рассматриваются в статье (ингибиторы ATR/Chk1 и др.) и как эти знания могут быть использованы для повышения эффективности противоопухолевой терапии (например, в сочетании с химио‑ и лучевой терапией)?</w:t>
      </w:r>
    </w:p>
    <w:p w14:paraId="44AAA147">
      <w:pPr>
        <w:spacing w:before="240" w:line="271" w:lineRule="auto"/>
        <w:rPr>
          <w:rFonts w:ascii="Georgia" w:hAnsi="Georgia" w:eastAsia="Georgia" w:cs="Georgia"/>
          <w:b/>
          <w:sz w:val="24"/>
          <w:szCs w:val="15"/>
        </w:rPr>
      </w:pPr>
      <w:bookmarkStart w:id="3" w:name="задача_4_2_й_тип_работа_со_статьё_9f3077"/>
    </w:p>
    <w:p w14:paraId="75AA8E7B">
      <w:pPr>
        <w:spacing w:before="240" w:line="271" w:lineRule="auto"/>
        <w:rPr>
          <w:rFonts w:ascii="Georgia" w:hAnsi="Georgia" w:eastAsia="Georgia" w:cs="Georgia"/>
          <w:b/>
          <w:sz w:val="24"/>
          <w:szCs w:val="15"/>
        </w:rPr>
      </w:pPr>
      <w:bookmarkStart w:id="4" w:name="_GoBack"/>
      <w:bookmarkEnd w:id="4"/>
      <w:r>
        <w:rPr>
          <w:rFonts w:ascii="Georgia" w:hAnsi="Georgia" w:eastAsia="Georgia" w:cs="Georgia"/>
          <w:b/>
          <w:sz w:val="24"/>
          <w:szCs w:val="15"/>
        </w:rPr>
        <w:t xml:space="preserve">Задача 4 </w:t>
      </w:r>
      <w:bookmarkEnd w:id="3"/>
    </w:p>
    <w:p w14:paraId="2261CA8F">
      <w:pPr>
        <w:spacing w:before="240" w:line="271" w:lineRule="auto"/>
        <w:rPr>
          <w:rFonts w:hint="default" w:ascii="Georgia" w:hAnsi="Georgia" w:eastAsia="Georgia"/>
          <w:b w:val="0"/>
          <w:bCs/>
          <w:sz w:val="16"/>
          <w:szCs w:val="16"/>
        </w:rPr>
      </w:pPr>
      <w:r>
        <w:rPr>
          <w:rFonts w:hint="default" w:ascii="Georgia" w:hAnsi="Georgia" w:eastAsia="Georgia"/>
          <w:b w:val="0"/>
          <w:bCs/>
          <w:sz w:val="16"/>
          <w:szCs w:val="16"/>
        </w:rPr>
        <w:t>Ознакомьтесь с обзором:</w:t>
      </w:r>
    </w:p>
    <w:p w14:paraId="7CF7F0BC">
      <w:pPr>
        <w:spacing w:before="240" w:line="271" w:lineRule="auto"/>
        <w:rPr>
          <w:rFonts w:hint="default" w:ascii="Georgia" w:hAnsi="Georgia" w:eastAsia="Georgia"/>
          <w:b w:val="0"/>
          <w:bCs/>
          <w:sz w:val="16"/>
          <w:szCs w:val="16"/>
        </w:rPr>
      </w:pPr>
      <w:r>
        <w:rPr>
          <w:rFonts w:hint="default" w:ascii="Georgia" w:hAnsi="Georgia" w:eastAsia="Georgia"/>
          <w:b w:val="0"/>
          <w:bCs/>
          <w:sz w:val="16"/>
          <w:szCs w:val="16"/>
        </w:rPr>
        <w:t>Keup C, Suryaprakash V, Hauch S, et al. Liquid Biopsy And... Mol Oncol. 2020;14(5): https://pmc.ncbi.nlm.nih.gov/articles/PMC7522544/</w:t>
      </w:r>
    </w:p>
    <w:p w14:paraId="152308B4">
      <w:pPr>
        <w:spacing w:before="240" w:line="271" w:lineRule="auto"/>
        <w:rPr>
          <w:rFonts w:hint="default" w:ascii="Georgia" w:hAnsi="Georgia" w:eastAsia="Georgia"/>
          <w:b w:val="0"/>
          <w:bCs/>
          <w:sz w:val="16"/>
          <w:szCs w:val="16"/>
        </w:rPr>
      </w:pPr>
      <w:r>
        <w:rPr>
          <w:rFonts w:hint="default" w:ascii="Georgia" w:hAnsi="Georgia" w:eastAsia="Georgia"/>
          <w:b w:val="0"/>
          <w:bCs/>
          <w:sz w:val="16"/>
          <w:szCs w:val="16"/>
        </w:rPr>
        <w:t>Ответьте на вопросы:</w:t>
      </w:r>
    </w:p>
    <w:p w14:paraId="5B484F91">
      <w:pPr>
        <w:numPr>
          <w:ilvl w:val="0"/>
          <w:numId w:val="2"/>
        </w:numPr>
        <w:tabs>
          <w:tab w:val="clear" w:pos="425"/>
        </w:tabs>
        <w:spacing w:before="240" w:line="271" w:lineRule="auto"/>
        <w:ind w:left="425" w:leftChars="0" w:hanging="425" w:firstLineChars="0"/>
        <w:rPr>
          <w:rFonts w:hint="default" w:ascii="Georgia" w:hAnsi="Georgia" w:eastAsia="Georgia"/>
          <w:b w:val="0"/>
          <w:bCs/>
          <w:sz w:val="16"/>
          <w:szCs w:val="16"/>
        </w:rPr>
      </w:pPr>
      <w:r>
        <w:rPr>
          <w:rFonts w:hint="default" w:ascii="Georgia" w:hAnsi="Georgia" w:eastAsia="Georgia"/>
          <w:b w:val="0"/>
          <w:bCs/>
          <w:sz w:val="16"/>
          <w:szCs w:val="16"/>
        </w:rPr>
        <w:t>Дайте определение жидкостной биопсии и перечислите её основные объекты анализа (ctDNA, циркулирующие опухолевые клетки (CTC), экзосомы и др.). Чем жидкостная биопсия принципиально отличается от классической тканевой биопсии по инвазивности, частоте повторения и характеру получаемой информации?</w:t>
      </w:r>
    </w:p>
    <w:p w14:paraId="4B1869DF">
      <w:pPr>
        <w:numPr>
          <w:ilvl w:val="0"/>
          <w:numId w:val="2"/>
        </w:numPr>
        <w:tabs>
          <w:tab w:val="clear" w:pos="425"/>
        </w:tabs>
        <w:spacing w:before="240" w:line="271" w:lineRule="auto"/>
        <w:ind w:left="425" w:leftChars="0" w:hanging="425" w:firstLineChars="0"/>
        <w:rPr>
          <w:rFonts w:hint="default" w:ascii="Georgia" w:hAnsi="Georgia" w:eastAsia="Georgia"/>
          <w:b w:val="0"/>
          <w:bCs/>
          <w:sz w:val="16"/>
          <w:szCs w:val="16"/>
        </w:rPr>
      </w:pPr>
      <w:r>
        <w:rPr>
          <w:rFonts w:hint="default" w:ascii="Georgia" w:hAnsi="Georgia" w:eastAsia="Georgia"/>
          <w:b w:val="0"/>
          <w:bCs/>
          <w:sz w:val="16"/>
          <w:szCs w:val="16"/>
        </w:rPr>
        <w:t>На основании статьи опишите не менее двух клинических ситуаций, в которых использование анализа циркулирующей опухолевой ДНК (ctDNA) является особенно полезным (например, мониторинг ответа на таргетную терапию, раннее выявление резистентных клонов, оценка минимальной остаточной болезни). Приведите конкретный пример, основанный на описанных в статье данных.</w:t>
      </w:r>
    </w:p>
    <w:p w14:paraId="1AD3A37D">
      <w:pPr>
        <w:numPr>
          <w:ilvl w:val="0"/>
          <w:numId w:val="2"/>
        </w:numPr>
        <w:tabs>
          <w:tab w:val="clear" w:pos="425"/>
        </w:tabs>
        <w:spacing w:before="240" w:line="271" w:lineRule="auto"/>
        <w:ind w:left="425" w:leftChars="0" w:hanging="425" w:firstLineChars="0"/>
        <w:rPr>
          <w:rFonts w:hint="default" w:ascii="Georgia" w:hAnsi="Georgia" w:eastAsia="Georgia"/>
          <w:b w:val="0"/>
          <w:bCs/>
          <w:sz w:val="16"/>
          <w:szCs w:val="16"/>
        </w:rPr>
      </w:pPr>
      <w:r>
        <w:rPr>
          <w:rFonts w:hint="default" w:ascii="Georgia" w:hAnsi="Georgia" w:eastAsia="Georgia"/>
          <w:b w:val="0"/>
          <w:bCs/>
          <w:sz w:val="16"/>
          <w:szCs w:val="16"/>
        </w:rPr>
        <w:t>Объясните, как результаты жидкостной биопсии могут влиять на изменение схемы терапии у онкологического пациента (смена таргетного препарата, прекращение лечения, переход на другую линию).</w:t>
      </w:r>
    </w:p>
    <w:p w14:paraId="711C8757">
      <w:pPr>
        <w:numPr>
          <w:ilvl w:val="0"/>
          <w:numId w:val="2"/>
        </w:numPr>
        <w:tabs>
          <w:tab w:val="clear" w:pos="425"/>
        </w:tabs>
        <w:spacing w:before="240" w:line="271" w:lineRule="auto"/>
        <w:ind w:left="425" w:leftChars="0" w:hanging="425" w:firstLineChars="0"/>
        <w:rPr>
          <w:b w:val="0"/>
          <w:bCs/>
          <w:sz w:val="16"/>
          <w:szCs w:val="16"/>
        </w:rPr>
      </w:pPr>
      <w:r>
        <w:rPr>
          <w:rFonts w:hint="default" w:ascii="Georgia" w:hAnsi="Georgia" w:eastAsia="Georgia"/>
          <w:b w:val="0"/>
          <w:bCs/>
          <w:sz w:val="16"/>
          <w:szCs w:val="16"/>
        </w:rPr>
        <w:t>Перечислите основные ограничения жидкостной биопсии, описанные в статье (чувствительность при низкой опухолевой нагрузке, ложноположительные и ложноотрицательные результаты, влияние клонального кроветворения и др.) и кратко прокомментируйте, как эти ограничения следует учитывать в клинической практике.</w:t>
      </w:r>
    </w:p>
    <w:sectPr>
      <w:pgSz w:w="12240" w:h="15840"/>
      <w:pgMar w:top="1415" w:right="1775" w:bottom="1415" w:left="17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unse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39918"/>
    <w:multiLevelType w:val="singleLevel"/>
    <w:tmpl w:val="CD139918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4FBD91D5"/>
    <w:multiLevelType w:val="singleLevel"/>
    <w:tmpl w:val="4FBD91D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41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120" w:line="240" w:lineRule="atLeast"/>
    </w:pPr>
    <w:rPr>
      <w:rFonts w:ascii="Georgia" w:hAnsiTheme="minorHAnsi" w:eastAsiaTheme="minorHAnsi" w:cstheme="minorBidi"/>
      <w:sz w:val="21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Normal (Web)"/>
    <w:basedOn w:val="1"/>
    <w:uiPriority w:val="0"/>
    <w:rPr>
      <w:sz w:val="24"/>
      <w:szCs w:val="24"/>
    </w:rPr>
  </w:style>
  <w:style w:type="character" w:customStyle="1" w:styleId="8">
    <w:name w:val="Verbatim Char"/>
    <w:uiPriority w:val="0"/>
    <w:rPr>
      <w:rFonts w:ascii="Consolas" w:hAnsi="Consolas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9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2025-12-22T11:15:00Z</dcterms:created>
  <dc:creator>html-to-docx</dc:creator>
  <cp:keywords>html-to-docx</cp:keywords>
  <cp:lastModifiedBy>MSI</cp:lastModifiedBy>
  <dcterms:modified xsi:type="dcterms:W3CDTF">2025-12-22T11:25:48Z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22DADFD95A124E4395FD468882039110_13</vt:lpwstr>
  </property>
</Properties>
</file>