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71" w:rsidRPr="00885C71" w:rsidRDefault="00885C71" w:rsidP="00885C71">
      <w:pPr>
        <w:pStyle w:val="3333"/>
        <w:rPr>
          <w:b/>
          <w:color w:val="000000" w:themeColor="text1"/>
        </w:rPr>
      </w:pPr>
      <w:r w:rsidRPr="00885C71">
        <w:rPr>
          <w:b/>
          <w:color w:val="000000" w:themeColor="text1"/>
        </w:rPr>
        <w:t xml:space="preserve">Тема:  </w:t>
      </w:r>
      <w:bookmarkStart w:id="0" w:name="_GoBack"/>
      <w:r w:rsidRPr="00885C71">
        <w:rPr>
          <w:b/>
          <w:color w:val="000000" w:themeColor="text1"/>
        </w:rPr>
        <w:t xml:space="preserve">Методы </w:t>
      </w:r>
      <w:proofErr w:type="spellStart"/>
      <w:r w:rsidRPr="00885C71">
        <w:rPr>
          <w:b/>
          <w:color w:val="000000" w:themeColor="text1"/>
        </w:rPr>
        <w:t>детекции</w:t>
      </w:r>
      <w:proofErr w:type="spellEnd"/>
      <w:r w:rsidRPr="00885C71">
        <w:rPr>
          <w:b/>
          <w:color w:val="000000" w:themeColor="text1"/>
        </w:rPr>
        <w:t xml:space="preserve"> продуктов ПЦР</w:t>
      </w:r>
      <w:bookmarkEnd w:id="0"/>
      <w:r w:rsidRPr="00885C71">
        <w:rPr>
          <w:b/>
          <w:color w:val="000000" w:themeColor="text1"/>
        </w:rPr>
        <w:t xml:space="preserve">. </w:t>
      </w:r>
    </w:p>
    <w:p w:rsidR="00885C71" w:rsidRDefault="00885C71" w:rsidP="00885C7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85C71" w:rsidRDefault="00885C71" w:rsidP="00885C71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вопросы, выносимые на обсуждение семинара.</w:t>
      </w:r>
    </w:p>
    <w:p w:rsidR="00885C71" w:rsidRPr="00CE12DB" w:rsidRDefault="00885C71" w:rsidP="00885C7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E12DB">
        <w:rPr>
          <w:rFonts w:ascii="Times New Roman" w:hAnsi="Times New Roman"/>
          <w:bCs/>
          <w:sz w:val="28"/>
          <w:szCs w:val="28"/>
        </w:rPr>
        <w:t xml:space="preserve">Метод </w:t>
      </w:r>
      <w:proofErr w:type="gramStart"/>
      <w:r w:rsidRPr="00CE12DB">
        <w:rPr>
          <w:rFonts w:ascii="Times New Roman" w:hAnsi="Times New Roman"/>
          <w:bCs/>
          <w:sz w:val="28"/>
          <w:szCs w:val="28"/>
        </w:rPr>
        <w:t>гель-электрофореза</w:t>
      </w:r>
      <w:proofErr w:type="gramEnd"/>
      <w:r w:rsidRPr="00CE12DB">
        <w:rPr>
          <w:rFonts w:ascii="Times New Roman" w:hAnsi="Times New Roman"/>
          <w:bCs/>
          <w:sz w:val="28"/>
          <w:szCs w:val="28"/>
        </w:rPr>
        <w:t xml:space="preserve"> для визуализации </w:t>
      </w:r>
      <w:proofErr w:type="spellStart"/>
      <w:r w:rsidRPr="00CE12DB">
        <w:rPr>
          <w:rFonts w:ascii="Times New Roman" w:hAnsi="Times New Roman"/>
          <w:bCs/>
          <w:sz w:val="28"/>
          <w:szCs w:val="28"/>
        </w:rPr>
        <w:t>ампликонов</w:t>
      </w:r>
      <w:proofErr w:type="spellEnd"/>
      <w:r w:rsidRPr="00CE12DB">
        <w:rPr>
          <w:rFonts w:ascii="Times New Roman" w:hAnsi="Times New Roman"/>
          <w:bCs/>
          <w:sz w:val="28"/>
          <w:szCs w:val="28"/>
        </w:rPr>
        <w:t xml:space="preserve">. </w:t>
      </w:r>
    </w:p>
    <w:p w:rsidR="00885C71" w:rsidRPr="00CE12DB" w:rsidRDefault="00885C71" w:rsidP="00885C7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E12DB">
        <w:rPr>
          <w:rFonts w:ascii="Times New Roman" w:hAnsi="Times New Roman"/>
          <w:bCs/>
          <w:sz w:val="28"/>
          <w:szCs w:val="28"/>
        </w:rPr>
        <w:t>Флуоресцентная</w:t>
      </w:r>
      <w:proofErr w:type="gramEnd"/>
      <w:r w:rsidRPr="00CE12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12DB">
        <w:rPr>
          <w:rFonts w:ascii="Times New Roman" w:hAnsi="Times New Roman"/>
          <w:bCs/>
          <w:sz w:val="28"/>
          <w:szCs w:val="28"/>
        </w:rPr>
        <w:t>детекция</w:t>
      </w:r>
      <w:proofErr w:type="spellEnd"/>
      <w:r w:rsidRPr="00CE12DB">
        <w:rPr>
          <w:rFonts w:ascii="Times New Roman" w:hAnsi="Times New Roman"/>
          <w:bCs/>
          <w:sz w:val="28"/>
          <w:szCs w:val="28"/>
        </w:rPr>
        <w:t xml:space="preserve"> результатов ПЦР. </w:t>
      </w:r>
    </w:p>
    <w:p w:rsidR="00885C71" w:rsidRPr="00CE12DB" w:rsidRDefault="00885C71" w:rsidP="00885C7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E12DB">
        <w:rPr>
          <w:rFonts w:ascii="Times New Roman" w:hAnsi="Times New Roman"/>
          <w:bCs/>
          <w:sz w:val="28"/>
          <w:szCs w:val="28"/>
        </w:rPr>
        <w:t>Основные характеристики флуоресцентных красителей и гасителей флуоресценции.</w:t>
      </w:r>
    </w:p>
    <w:p w:rsidR="00885C71" w:rsidRDefault="00885C71" w:rsidP="00885C71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5C71" w:rsidRPr="00C03FD7" w:rsidRDefault="00885C71" w:rsidP="00885C71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 w:rsidRPr="00C03FD7">
        <w:rPr>
          <w:b/>
          <w:sz w:val="28"/>
          <w:szCs w:val="28"/>
        </w:rPr>
        <w:t>Краткое содержание занятия:</w:t>
      </w:r>
    </w:p>
    <w:p w:rsidR="00885C71" w:rsidRDefault="00885C71" w:rsidP="00885C7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885C71" w:rsidRPr="00BD7FBD" w:rsidRDefault="00885C71" w:rsidP="00885C71">
      <w:pPr>
        <w:pStyle w:val="a3"/>
        <w:ind w:firstLine="709"/>
        <w:jc w:val="both"/>
        <w:rPr>
          <w:sz w:val="28"/>
          <w:szCs w:val="28"/>
        </w:rPr>
      </w:pPr>
      <w:r w:rsidRPr="00BD7FBD">
        <w:rPr>
          <w:sz w:val="28"/>
          <w:szCs w:val="28"/>
        </w:rPr>
        <w:t xml:space="preserve">Для правильной оценки результатов ПЦР важно понимать, что данный метод не является количественным. Теоретически продукты амплификации единичных молекул ДНК-мишени могут быть обнаружены с помощью электрофореза уже после 30-35 циклов. Однако на практике это выполняется лишь в случаях, когда реакция проходит в условиях, близких к </w:t>
      </w:r>
      <w:proofErr w:type="gramStart"/>
      <w:r w:rsidRPr="00BD7FBD">
        <w:rPr>
          <w:sz w:val="28"/>
          <w:szCs w:val="28"/>
        </w:rPr>
        <w:t>идеальным</w:t>
      </w:r>
      <w:proofErr w:type="gramEnd"/>
      <w:r w:rsidRPr="00BD7FBD">
        <w:rPr>
          <w:sz w:val="28"/>
          <w:szCs w:val="28"/>
        </w:rPr>
        <w:t xml:space="preserve">, что в жизни встречается не часто. Особенно большое влияние на эффективность амплификации оказывает степень чистоты препарата ДНК, т.е. наличие в реакционной смеси тех или иных ингибиторов, от которых избавиться в некоторых случаях бывает крайне сложно. Иногда, из-за их присутствия не удается </w:t>
      </w:r>
      <w:proofErr w:type="spellStart"/>
      <w:r w:rsidRPr="00BD7FBD">
        <w:rPr>
          <w:sz w:val="28"/>
          <w:szCs w:val="28"/>
        </w:rPr>
        <w:t>амплифицировать</w:t>
      </w:r>
      <w:proofErr w:type="spellEnd"/>
      <w:r w:rsidRPr="00BD7FBD">
        <w:rPr>
          <w:sz w:val="28"/>
          <w:szCs w:val="28"/>
        </w:rPr>
        <w:t xml:space="preserve"> даже десятки тысяч молекул ДНК-мишени. Таким образом, прямая связь между исходным количеством ДНК-мишени и конечным количеством продуктов амплификации часто отсутствует.</w:t>
      </w:r>
    </w:p>
    <w:p w:rsidR="00885C71" w:rsidRPr="00BD7FBD" w:rsidRDefault="00885C71" w:rsidP="00885C71">
      <w:pPr>
        <w:pStyle w:val="a3"/>
        <w:ind w:firstLine="709"/>
        <w:jc w:val="both"/>
        <w:rPr>
          <w:sz w:val="28"/>
          <w:szCs w:val="28"/>
        </w:rPr>
      </w:pPr>
    </w:p>
    <w:p w:rsidR="00885C71" w:rsidRPr="00BD7FBD" w:rsidRDefault="00885C71" w:rsidP="00885C71">
      <w:pPr>
        <w:pStyle w:val="a3"/>
        <w:ind w:firstLine="709"/>
        <w:jc w:val="both"/>
        <w:rPr>
          <w:sz w:val="28"/>
          <w:szCs w:val="28"/>
        </w:rPr>
      </w:pPr>
      <w:r w:rsidRPr="00BD7FBD">
        <w:rPr>
          <w:sz w:val="28"/>
          <w:szCs w:val="28"/>
        </w:rPr>
        <w:t>МЕТОД ГОРИЗОНТАЛЬНОГО ЭЛЕКТРОФОРЕЗА</w:t>
      </w:r>
    </w:p>
    <w:p w:rsidR="00885C71" w:rsidRPr="00BD7FBD" w:rsidRDefault="00885C71" w:rsidP="00885C71">
      <w:pPr>
        <w:pStyle w:val="a3"/>
        <w:ind w:firstLine="709"/>
        <w:jc w:val="both"/>
        <w:rPr>
          <w:sz w:val="28"/>
          <w:szCs w:val="28"/>
        </w:rPr>
      </w:pPr>
      <w:r w:rsidRPr="00BD7FBD">
        <w:rPr>
          <w:sz w:val="28"/>
          <w:szCs w:val="28"/>
        </w:rPr>
        <w:t xml:space="preserve">Для визуализации результатов амплификации используют различные методы. Наиболее распространенным на сегодняшний день является метод электрофореза, основанный на разделении молекул ДНК по размеру. Для этого готовят пластину </w:t>
      </w:r>
      <w:proofErr w:type="spellStart"/>
      <w:r w:rsidRPr="00BD7FBD">
        <w:rPr>
          <w:sz w:val="28"/>
          <w:szCs w:val="28"/>
        </w:rPr>
        <w:t>агарозного</w:t>
      </w:r>
      <w:proofErr w:type="spellEnd"/>
      <w:r w:rsidRPr="00BD7FBD">
        <w:rPr>
          <w:sz w:val="28"/>
          <w:szCs w:val="28"/>
        </w:rPr>
        <w:t xml:space="preserve"> геля, представляющего собой застывшую после расплавления в </w:t>
      </w:r>
      <w:proofErr w:type="spellStart"/>
      <w:r w:rsidRPr="00BD7FBD">
        <w:rPr>
          <w:sz w:val="28"/>
          <w:szCs w:val="28"/>
        </w:rPr>
        <w:t>электрофорезном</w:t>
      </w:r>
      <w:proofErr w:type="spellEnd"/>
      <w:r w:rsidRPr="00BD7FBD">
        <w:rPr>
          <w:sz w:val="28"/>
          <w:szCs w:val="28"/>
        </w:rPr>
        <w:t xml:space="preserve"> буфере </w:t>
      </w:r>
      <w:proofErr w:type="spellStart"/>
      <w:r w:rsidRPr="00BD7FBD">
        <w:rPr>
          <w:sz w:val="28"/>
          <w:szCs w:val="28"/>
        </w:rPr>
        <w:t>агарозу</w:t>
      </w:r>
      <w:proofErr w:type="spellEnd"/>
      <w:r w:rsidRPr="00BD7FBD">
        <w:rPr>
          <w:sz w:val="28"/>
          <w:szCs w:val="28"/>
        </w:rPr>
        <w:t xml:space="preserve"> в концентрации 1,5-2,5% с добавлением специального красителя ДНК, например, бромистого </w:t>
      </w:r>
      <w:proofErr w:type="spellStart"/>
      <w:r w:rsidRPr="00BD7FBD">
        <w:rPr>
          <w:sz w:val="28"/>
          <w:szCs w:val="28"/>
        </w:rPr>
        <w:t>этидия</w:t>
      </w:r>
      <w:proofErr w:type="spellEnd"/>
      <w:r w:rsidRPr="00BD7FBD">
        <w:rPr>
          <w:sz w:val="28"/>
          <w:szCs w:val="28"/>
        </w:rPr>
        <w:t xml:space="preserve">. </w:t>
      </w:r>
      <w:proofErr w:type="gramStart"/>
      <w:r w:rsidRPr="00BD7FBD">
        <w:rPr>
          <w:sz w:val="28"/>
          <w:szCs w:val="28"/>
        </w:rPr>
        <w:t>Застывшая</w:t>
      </w:r>
      <w:proofErr w:type="gramEnd"/>
      <w:r w:rsidRPr="00BD7FBD">
        <w:rPr>
          <w:sz w:val="28"/>
          <w:szCs w:val="28"/>
        </w:rPr>
        <w:t xml:space="preserve"> </w:t>
      </w:r>
      <w:proofErr w:type="spellStart"/>
      <w:r w:rsidRPr="00BD7FBD">
        <w:rPr>
          <w:sz w:val="28"/>
          <w:szCs w:val="28"/>
        </w:rPr>
        <w:t>агароза</w:t>
      </w:r>
      <w:proofErr w:type="spellEnd"/>
      <w:r w:rsidRPr="00BD7FBD">
        <w:rPr>
          <w:sz w:val="28"/>
          <w:szCs w:val="28"/>
        </w:rPr>
        <w:t xml:space="preserve"> образует пространственную решетку. При заливке с помощью гребенок в геле формируют специальные лунки, в которые в дальнейшем вносят продукты амплификации. Пластину геля помещают в аппарат для горизонтального </w:t>
      </w:r>
      <w:proofErr w:type="gramStart"/>
      <w:r w:rsidRPr="00BD7FBD">
        <w:rPr>
          <w:sz w:val="28"/>
          <w:szCs w:val="28"/>
        </w:rPr>
        <w:t>гель-электрофореза</w:t>
      </w:r>
      <w:proofErr w:type="gramEnd"/>
      <w:r w:rsidRPr="00BD7FBD">
        <w:rPr>
          <w:sz w:val="28"/>
          <w:szCs w:val="28"/>
        </w:rPr>
        <w:t xml:space="preserve"> и подключают источник постоянного напряжения. Отрицательно заряженная ДНК начинает двигаться в геле от минуса к плюсу. При этом более короткие молекулы ДНК движутся быстрее, чем длинные. На скорость движения ДНК в геле влияет концентрация </w:t>
      </w:r>
      <w:proofErr w:type="spellStart"/>
      <w:r w:rsidRPr="00BD7FBD">
        <w:rPr>
          <w:sz w:val="28"/>
          <w:szCs w:val="28"/>
        </w:rPr>
        <w:t>агарозы</w:t>
      </w:r>
      <w:proofErr w:type="spellEnd"/>
      <w:r w:rsidRPr="00BD7FBD">
        <w:rPr>
          <w:sz w:val="28"/>
          <w:szCs w:val="28"/>
        </w:rPr>
        <w:t xml:space="preserve">, напряженность электрического поля, температура, состав </w:t>
      </w:r>
      <w:proofErr w:type="spellStart"/>
      <w:r w:rsidRPr="00BD7FBD">
        <w:rPr>
          <w:sz w:val="28"/>
          <w:szCs w:val="28"/>
        </w:rPr>
        <w:t>электрофорезного</w:t>
      </w:r>
      <w:proofErr w:type="spellEnd"/>
      <w:r w:rsidRPr="00BD7FBD">
        <w:rPr>
          <w:sz w:val="28"/>
          <w:szCs w:val="28"/>
        </w:rPr>
        <w:t xml:space="preserve"> буфера и, в меньшей степени, ГЦ-состав ДНК. Все молекулы одного размера движутся с одинаковой скоростью. Краситель встраивается (</w:t>
      </w:r>
      <w:proofErr w:type="spellStart"/>
      <w:r w:rsidRPr="00BD7FBD">
        <w:rPr>
          <w:sz w:val="28"/>
          <w:szCs w:val="28"/>
        </w:rPr>
        <w:t>интеркалирует</w:t>
      </w:r>
      <w:proofErr w:type="spellEnd"/>
      <w:r w:rsidRPr="00BD7FBD">
        <w:rPr>
          <w:sz w:val="28"/>
          <w:szCs w:val="28"/>
        </w:rPr>
        <w:t xml:space="preserve">) плоскостными группами в молекулы ДНК. После окончания электрофореза, продолжающегося от 10 мин до 1 часа, гель </w:t>
      </w:r>
      <w:r w:rsidRPr="00BD7FBD">
        <w:rPr>
          <w:sz w:val="28"/>
          <w:szCs w:val="28"/>
        </w:rPr>
        <w:lastRenderedPageBreak/>
        <w:t xml:space="preserve">помещают на фильтр </w:t>
      </w:r>
      <w:proofErr w:type="spellStart"/>
      <w:r w:rsidRPr="00BD7FBD">
        <w:rPr>
          <w:sz w:val="28"/>
          <w:szCs w:val="28"/>
        </w:rPr>
        <w:t>трансиллюминатора</w:t>
      </w:r>
      <w:proofErr w:type="spellEnd"/>
      <w:r w:rsidRPr="00BD7FBD">
        <w:rPr>
          <w:sz w:val="28"/>
          <w:szCs w:val="28"/>
        </w:rPr>
        <w:t xml:space="preserve">, излучающего свет в ультрафиолетовом диапазоне (254 - 310 </w:t>
      </w:r>
      <w:proofErr w:type="spellStart"/>
      <w:r w:rsidRPr="00BD7FBD">
        <w:rPr>
          <w:sz w:val="28"/>
          <w:szCs w:val="28"/>
        </w:rPr>
        <w:t>нм</w:t>
      </w:r>
      <w:proofErr w:type="spellEnd"/>
      <w:r w:rsidRPr="00BD7FBD">
        <w:rPr>
          <w:sz w:val="28"/>
          <w:szCs w:val="28"/>
        </w:rPr>
        <w:t xml:space="preserve">). Энергия ультрафиолета, поглощаемая ДНК в области 260 </w:t>
      </w:r>
      <w:proofErr w:type="spellStart"/>
      <w:r w:rsidRPr="00BD7FBD">
        <w:rPr>
          <w:sz w:val="28"/>
          <w:szCs w:val="28"/>
        </w:rPr>
        <w:t>нм</w:t>
      </w:r>
      <w:proofErr w:type="spellEnd"/>
      <w:r w:rsidRPr="00BD7FBD">
        <w:rPr>
          <w:sz w:val="28"/>
          <w:szCs w:val="28"/>
        </w:rPr>
        <w:t xml:space="preserve">, передается на краситель, заставляя его флуоресцировать в оранжево-красной области видимого спектра (590 </w:t>
      </w:r>
      <w:proofErr w:type="spellStart"/>
      <w:r w:rsidRPr="00BD7FBD">
        <w:rPr>
          <w:sz w:val="28"/>
          <w:szCs w:val="28"/>
        </w:rPr>
        <w:t>нм</w:t>
      </w:r>
      <w:proofErr w:type="spellEnd"/>
      <w:r w:rsidRPr="00BD7FBD">
        <w:rPr>
          <w:sz w:val="28"/>
          <w:szCs w:val="28"/>
        </w:rPr>
        <w:t>).</w:t>
      </w:r>
    </w:p>
    <w:p w:rsidR="00885C71" w:rsidRPr="00BD7FBD" w:rsidRDefault="00885C71" w:rsidP="00885C71">
      <w:pPr>
        <w:pStyle w:val="a3"/>
        <w:ind w:firstLine="709"/>
        <w:jc w:val="both"/>
        <w:rPr>
          <w:sz w:val="28"/>
          <w:szCs w:val="28"/>
        </w:rPr>
      </w:pPr>
      <w:r w:rsidRPr="00BD7FBD">
        <w:rPr>
          <w:sz w:val="28"/>
          <w:szCs w:val="28"/>
        </w:rPr>
        <w:t>Яркость полос продуктов амплификации может быть различной. Однако это нельзя связывать с начальным количеством ДНК-мишени в образце.</w:t>
      </w:r>
    </w:p>
    <w:p w:rsidR="00885C71" w:rsidRPr="00BD7FBD" w:rsidRDefault="00885C71" w:rsidP="00885C71">
      <w:pPr>
        <w:pStyle w:val="a3"/>
        <w:ind w:firstLine="709"/>
        <w:jc w:val="both"/>
        <w:rPr>
          <w:sz w:val="28"/>
          <w:szCs w:val="28"/>
        </w:rPr>
      </w:pPr>
    </w:p>
    <w:p w:rsidR="00885C71" w:rsidRPr="00BD7FBD" w:rsidRDefault="00885C71" w:rsidP="00885C71">
      <w:pPr>
        <w:pStyle w:val="a3"/>
        <w:ind w:firstLine="709"/>
        <w:jc w:val="both"/>
        <w:rPr>
          <w:sz w:val="28"/>
          <w:szCs w:val="28"/>
        </w:rPr>
      </w:pPr>
      <w:r w:rsidRPr="00BD7FBD">
        <w:rPr>
          <w:sz w:val="28"/>
          <w:szCs w:val="28"/>
        </w:rPr>
        <w:t>МЕТОД ВЕРТИКАЛЬНОГО ЭЛЕКТРОФОРЕЗА</w:t>
      </w:r>
    </w:p>
    <w:p w:rsidR="00885C71" w:rsidRDefault="00885C71" w:rsidP="00885C71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BD7FBD">
        <w:rPr>
          <w:sz w:val="28"/>
          <w:szCs w:val="28"/>
        </w:rPr>
        <w:t xml:space="preserve">Метод вертикального электрофореза принципиально схож с горизонтальным электрофорезом. Их отличие заключается в том, что в данном случае вместо </w:t>
      </w:r>
      <w:proofErr w:type="spellStart"/>
      <w:r w:rsidRPr="00BD7FBD">
        <w:rPr>
          <w:sz w:val="28"/>
          <w:szCs w:val="28"/>
        </w:rPr>
        <w:t>агарозы</w:t>
      </w:r>
      <w:proofErr w:type="spellEnd"/>
      <w:r w:rsidRPr="00BD7FBD">
        <w:rPr>
          <w:sz w:val="28"/>
          <w:szCs w:val="28"/>
        </w:rPr>
        <w:t xml:space="preserve"> используют полиакриламидные гели. Его проводят в специальной камере для вертикального электрофореза. Электрофорез в полиакриламидном геле имеет большую разрешающую способность по сравнению с </w:t>
      </w:r>
      <w:proofErr w:type="spellStart"/>
      <w:r w:rsidRPr="00BD7FBD">
        <w:rPr>
          <w:sz w:val="28"/>
          <w:szCs w:val="28"/>
        </w:rPr>
        <w:t>агарозным</w:t>
      </w:r>
      <w:proofErr w:type="spellEnd"/>
      <w:r w:rsidRPr="00BD7FBD">
        <w:rPr>
          <w:sz w:val="28"/>
          <w:szCs w:val="28"/>
        </w:rPr>
        <w:t xml:space="preserve"> электрофорезом и позволяет различать молекулы ДНК разных размеров с точностью до одного нуклеотида. Приготовление полиакриламидного геля несколько сложнее </w:t>
      </w:r>
      <w:proofErr w:type="spellStart"/>
      <w:r w:rsidRPr="00BD7FBD">
        <w:rPr>
          <w:sz w:val="28"/>
          <w:szCs w:val="28"/>
        </w:rPr>
        <w:t>агарозного</w:t>
      </w:r>
      <w:proofErr w:type="spellEnd"/>
      <w:r w:rsidRPr="00BD7FBD">
        <w:rPr>
          <w:sz w:val="28"/>
          <w:szCs w:val="28"/>
        </w:rPr>
        <w:t>. Кроме того акриламид является токсичным веществом. Поскольку необходимость определить размер продукта амплификации с точностью до 1 нуклеотида возникает редко, то в обычной работе используют метод горизонтального электрофореза.</w:t>
      </w:r>
    </w:p>
    <w:p w:rsidR="00885C71" w:rsidRDefault="00885C71" w:rsidP="00885C71">
      <w:pPr>
        <w:pStyle w:val="a3"/>
        <w:spacing w:line="276" w:lineRule="auto"/>
        <w:jc w:val="both"/>
        <w:rPr>
          <w:b/>
          <w:bCs/>
          <w:sz w:val="28"/>
          <w:szCs w:val="28"/>
        </w:rPr>
      </w:pPr>
    </w:p>
    <w:p w:rsidR="00885C71" w:rsidRPr="00BD7FBD" w:rsidRDefault="00885C71" w:rsidP="00885C71">
      <w:pPr>
        <w:pStyle w:val="a3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BD7FBD">
        <w:rPr>
          <w:b/>
          <w:bCs/>
          <w:sz w:val="28"/>
          <w:szCs w:val="28"/>
        </w:rPr>
        <w:t xml:space="preserve">Методы флуоресцентной </w:t>
      </w:r>
      <w:proofErr w:type="spellStart"/>
      <w:r w:rsidRPr="00BD7FBD">
        <w:rPr>
          <w:b/>
          <w:bCs/>
          <w:sz w:val="28"/>
          <w:szCs w:val="28"/>
        </w:rPr>
        <w:t>детекции</w:t>
      </w:r>
      <w:proofErr w:type="spellEnd"/>
    </w:p>
    <w:p w:rsidR="00885C71" w:rsidRDefault="00885C71" w:rsidP="00885C71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BD7FBD">
        <w:rPr>
          <w:sz w:val="28"/>
          <w:szCs w:val="28"/>
        </w:rPr>
        <w:t xml:space="preserve">Методы </w:t>
      </w:r>
      <w:proofErr w:type="spellStart"/>
      <w:r w:rsidRPr="00BD7FBD">
        <w:rPr>
          <w:sz w:val="28"/>
          <w:szCs w:val="28"/>
        </w:rPr>
        <w:t>флуоресентной</w:t>
      </w:r>
      <w:proofErr w:type="spellEnd"/>
      <w:r w:rsidRPr="00BD7FBD">
        <w:rPr>
          <w:sz w:val="28"/>
          <w:szCs w:val="28"/>
        </w:rPr>
        <w:t xml:space="preserve"> </w:t>
      </w:r>
      <w:proofErr w:type="spellStart"/>
      <w:r w:rsidRPr="00BD7FBD">
        <w:rPr>
          <w:sz w:val="28"/>
          <w:szCs w:val="28"/>
        </w:rPr>
        <w:t>детекции</w:t>
      </w:r>
      <w:proofErr w:type="spellEnd"/>
      <w:r w:rsidRPr="00BD7FBD">
        <w:rPr>
          <w:sz w:val="28"/>
          <w:szCs w:val="28"/>
        </w:rPr>
        <w:t xml:space="preserve"> могут быть разделены на два главных направления: неспецифичные и специфичные. В таблице перечислены основные особенности, преимущества и недостатки наиболее используемых методов.</w:t>
      </w:r>
      <w:r w:rsidRPr="00BD7FBD">
        <w:rPr>
          <w:sz w:val="28"/>
          <w:szCs w:val="28"/>
        </w:rPr>
        <w:br/>
      </w:r>
    </w:p>
    <w:p w:rsidR="00885C71" w:rsidRPr="00BD7FBD" w:rsidRDefault="00885C71" w:rsidP="00885C71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969"/>
        <w:gridCol w:w="3260"/>
      </w:tblGrid>
      <w:tr w:rsidR="00885C71" w:rsidRPr="003B0428" w:rsidTr="003C20E2">
        <w:trPr>
          <w:trHeight w:val="450"/>
        </w:trPr>
        <w:tc>
          <w:tcPr>
            <w:tcW w:w="2518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b/>
                <w:bCs/>
                <w:sz w:val="28"/>
                <w:szCs w:val="28"/>
              </w:rPr>
              <w:t>Неспецифичные методы</w:t>
            </w:r>
          </w:p>
        </w:tc>
        <w:tc>
          <w:tcPr>
            <w:tcW w:w="3969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b/>
                <w:bCs/>
                <w:sz w:val="28"/>
                <w:szCs w:val="28"/>
              </w:rPr>
              <w:t>Принцип действия</w:t>
            </w:r>
          </w:p>
        </w:tc>
        <w:tc>
          <w:tcPr>
            <w:tcW w:w="3260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b/>
                <w:bCs/>
                <w:sz w:val="28"/>
                <w:szCs w:val="28"/>
              </w:rPr>
              <w:t>Особенности</w:t>
            </w:r>
          </w:p>
        </w:tc>
      </w:tr>
      <w:tr w:rsidR="00885C71" w:rsidRPr="003B0428" w:rsidTr="003C20E2">
        <w:tc>
          <w:tcPr>
            <w:tcW w:w="2518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B0428">
              <w:rPr>
                <w:sz w:val="28"/>
                <w:szCs w:val="28"/>
              </w:rPr>
              <w:t>Интеркалирующие</w:t>
            </w:r>
            <w:proofErr w:type="spellEnd"/>
            <w:r w:rsidRPr="003B0428">
              <w:rPr>
                <w:sz w:val="28"/>
                <w:szCs w:val="28"/>
              </w:rPr>
              <w:t xml:space="preserve"> красители (SYBR </w:t>
            </w:r>
            <w:proofErr w:type="spellStart"/>
            <w:r w:rsidRPr="003B0428">
              <w:rPr>
                <w:sz w:val="28"/>
                <w:szCs w:val="28"/>
              </w:rPr>
              <w:t>Green</w:t>
            </w:r>
            <w:proofErr w:type="spellEnd"/>
            <w:r w:rsidRPr="003B0428">
              <w:rPr>
                <w:sz w:val="28"/>
                <w:szCs w:val="28"/>
              </w:rPr>
              <w:t xml:space="preserve"> I и др.)</w:t>
            </w:r>
          </w:p>
        </w:tc>
        <w:tc>
          <w:tcPr>
            <w:tcW w:w="3969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sz w:val="28"/>
                <w:szCs w:val="28"/>
              </w:rPr>
              <w:t xml:space="preserve">Сигнал флуоресценции увеличивается из-за связывания </w:t>
            </w:r>
            <w:proofErr w:type="spellStart"/>
            <w:r w:rsidRPr="003B0428">
              <w:rPr>
                <w:sz w:val="28"/>
                <w:szCs w:val="28"/>
              </w:rPr>
              <w:t>интеркалирующего</w:t>
            </w:r>
            <w:proofErr w:type="spellEnd"/>
            <w:r w:rsidRPr="003B0428">
              <w:rPr>
                <w:sz w:val="28"/>
                <w:szCs w:val="28"/>
              </w:rPr>
              <w:t xml:space="preserve"> красителя с </w:t>
            </w:r>
            <w:proofErr w:type="spellStart"/>
            <w:r w:rsidRPr="003B0428">
              <w:rPr>
                <w:sz w:val="28"/>
                <w:szCs w:val="28"/>
              </w:rPr>
              <w:t>двухцепочечной</w:t>
            </w:r>
            <w:proofErr w:type="spellEnd"/>
            <w:r w:rsidRPr="003B0428">
              <w:rPr>
                <w:sz w:val="28"/>
                <w:szCs w:val="28"/>
              </w:rPr>
              <w:t xml:space="preserve"> ДНК.</w:t>
            </w:r>
          </w:p>
        </w:tc>
        <w:tc>
          <w:tcPr>
            <w:tcW w:w="3260" w:type="dxa"/>
            <w:vMerge w:val="restart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sz w:val="28"/>
                <w:szCs w:val="28"/>
              </w:rPr>
              <w:t xml:space="preserve">Высокий уровень сигнала, общие подходы к дизайну различных экспериментов, возможны ложноположительные результаты из-за </w:t>
            </w:r>
            <w:proofErr w:type="spellStart"/>
            <w:r w:rsidRPr="003B0428">
              <w:rPr>
                <w:sz w:val="28"/>
                <w:szCs w:val="28"/>
              </w:rPr>
              <w:t>димеров</w:t>
            </w:r>
            <w:proofErr w:type="spellEnd"/>
            <w:r w:rsidRPr="003B0428">
              <w:rPr>
                <w:sz w:val="28"/>
                <w:szCs w:val="28"/>
              </w:rPr>
              <w:t xml:space="preserve"> </w:t>
            </w:r>
            <w:proofErr w:type="spellStart"/>
            <w:r w:rsidRPr="003B0428">
              <w:rPr>
                <w:sz w:val="28"/>
                <w:szCs w:val="28"/>
              </w:rPr>
              <w:t>праймеров</w:t>
            </w:r>
            <w:proofErr w:type="spellEnd"/>
            <w:r w:rsidRPr="003B0428">
              <w:rPr>
                <w:sz w:val="28"/>
                <w:szCs w:val="28"/>
              </w:rPr>
              <w:t xml:space="preserve"> или неспецифичных </w:t>
            </w:r>
            <w:proofErr w:type="spellStart"/>
            <w:r w:rsidRPr="003B0428">
              <w:rPr>
                <w:sz w:val="28"/>
                <w:szCs w:val="28"/>
              </w:rPr>
              <w:t>ампликонов</w:t>
            </w:r>
            <w:proofErr w:type="spellEnd"/>
            <w:r w:rsidRPr="003B0428">
              <w:rPr>
                <w:sz w:val="28"/>
                <w:szCs w:val="28"/>
              </w:rPr>
              <w:t xml:space="preserve">, в силу этого эти методы непригодны </w:t>
            </w:r>
            <w:r w:rsidRPr="003B0428">
              <w:rPr>
                <w:sz w:val="28"/>
                <w:szCs w:val="28"/>
              </w:rPr>
              <w:lastRenderedPageBreak/>
              <w:t>для диагностических целей.</w:t>
            </w:r>
          </w:p>
        </w:tc>
      </w:tr>
      <w:tr w:rsidR="00885C71" w:rsidRPr="003B0428" w:rsidTr="003C20E2">
        <w:tc>
          <w:tcPr>
            <w:tcW w:w="2518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B0428">
              <w:rPr>
                <w:sz w:val="28"/>
                <w:szCs w:val="28"/>
              </w:rPr>
              <w:t>Амплифлуры</w:t>
            </w:r>
            <w:proofErr w:type="spellEnd"/>
            <w:r w:rsidRPr="003B0428">
              <w:rPr>
                <w:sz w:val="28"/>
                <w:szCs w:val="28"/>
              </w:rPr>
              <w:t xml:space="preserve"> (</w:t>
            </w:r>
            <w:proofErr w:type="spellStart"/>
            <w:r w:rsidRPr="003B0428">
              <w:rPr>
                <w:sz w:val="28"/>
                <w:szCs w:val="28"/>
              </w:rPr>
              <w:t>Amplifluor</w:t>
            </w:r>
            <w:proofErr w:type="spellEnd"/>
            <w:r w:rsidRPr="003B0428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B0428">
              <w:rPr>
                <w:sz w:val="28"/>
                <w:szCs w:val="28"/>
              </w:rPr>
              <w:t>Аллель-специфичная</w:t>
            </w:r>
            <w:proofErr w:type="gramEnd"/>
            <w:r w:rsidRPr="003B0428">
              <w:rPr>
                <w:sz w:val="28"/>
                <w:szCs w:val="28"/>
              </w:rPr>
              <w:t xml:space="preserve"> ПЦР раскрывает шпилечную структуру флуоресцентно-меченных </w:t>
            </w:r>
            <w:proofErr w:type="spellStart"/>
            <w:r w:rsidRPr="003B0428">
              <w:rPr>
                <w:sz w:val="28"/>
                <w:szCs w:val="28"/>
              </w:rPr>
              <w:t>олигонуклеотидов</w:t>
            </w:r>
            <w:proofErr w:type="spellEnd"/>
            <w:r w:rsidRPr="003B042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5C71" w:rsidRPr="003B0428" w:rsidTr="003C20E2">
        <w:tc>
          <w:tcPr>
            <w:tcW w:w="2518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sz w:val="28"/>
                <w:szCs w:val="28"/>
              </w:rPr>
              <w:t>Люкс-</w:t>
            </w:r>
            <w:proofErr w:type="spellStart"/>
            <w:r w:rsidRPr="003B0428">
              <w:rPr>
                <w:sz w:val="28"/>
                <w:szCs w:val="28"/>
              </w:rPr>
              <w:t>праймеры</w:t>
            </w:r>
            <w:proofErr w:type="spellEnd"/>
            <w:r w:rsidRPr="003B0428">
              <w:rPr>
                <w:sz w:val="28"/>
                <w:szCs w:val="28"/>
              </w:rPr>
              <w:t xml:space="preserve"> (</w:t>
            </w:r>
            <w:proofErr w:type="spellStart"/>
            <w:r w:rsidRPr="003B0428">
              <w:rPr>
                <w:sz w:val="28"/>
                <w:szCs w:val="28"/>
              </w:rPr>
              <w:t>Lux</w:t>
            </w:r>
            <w:proofErr w:type="spellEnd"/>
            <w:r w:rsidRPr="003B0428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sz w:val="28"/>
                <w:szCs w:val="28"/>
              </w:rPr>
              <w:t xml:space="preserve">Сигнал флуоресценции меняется при включении </w:t>
            </w:r>
            <w:r w:rsidRPr="003B0428">
              <w:rPr>
                <w:sz w:val="28"/>
                <w:szCs w:val="28"/>
              </w:rPr>
              <w:lastRenderedPageBreak/>
              <w:t xml:space="preserve">флуоресцентно-меченного </w:t>
            </w:r>
            <w:proofErr w:type="spellStart"/>
            <w:r w:rsidRPr="003B0428">
              <w:rPr>
                <w:sz w:val="28"/>
                <w:szCs w:val="28"/>
              </w:rPr>
              <w:t>праймера</w:t>
            </w:r>
            <w:proofErr w:type="spellEnd"/>
            <w:r w:rsidRPr="003B0428">
              <w:rPr>
                <w:sz w:val="28"/>
                <w:szCs w:val="28"/>
              </w:rPr>
              <w:t xml:space="preserve"> в ПЦР продукт.</w:t>
            </w:r>
          </w:p>
        </w:tc>
        <w:tc>
          <w:tcPr>
            <w:tcW w:w="3260" w:type="dxa"/>
            <w:vMerge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5C71" w:rsidRPr="003B0428" w:rsidTr="003C20E2">
        <w:tc>
          <w:tcPr>
            <w:tcW w:w="2518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B0428">
              <w:rPr>
                <w:sz w:val="28"/>
                <w:szCs w:val="28"/>
              </w:rPr>
              <w:lastRenderedPageBreak/>
              <w:t>DzyNA</w:t>
            </w:r>
            <w:proofErr w:type="spellEnd"/>
            <w:r w:rsidRPr="003B0428">
              <w:rPr>
                <w:sz w:val="28"/>
                <w:szCs w:val="28"/>
              </w:rPr>
              <w:t>-PCR</w:t>
            </w:r>
          </w:p>
        </w:tc>
        <w:tc>
          <w:tcPr>
            <w:tcW w:w="3969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sz w:val="28"/>
                <w:szCs w:val="28"/>
              </w:rPr>
              <w:t xml:space="preserve">При связывании зонда с </w:t>
            </w:r>
            <w:proofErr w:type="spellStart"/>
            <w:r w:rsidRPr="003B0428">
              <w:rPr>
                <w:sz w:val="28"/>
                <w:szCs w:val="28"/>
              </w:rPr>
              <w:t>амплификатом</w:t>
            </w:r>
            <w:proofErr w:type="spellEnd"/>
            <w:r w:rsidRPr="003B0428">
              <w:rPr>
                <w:sz w:val="28"/>
                <w:szCs w:val="28"/>
              </w:rPr>
              <w:t xml:space="preserve"> образуется участок узнавания </w:t>
            </w:r>
            <w:proofErr w:type="spellStart"/>
            <w:r w:rsidRPr="003B0428">
              <w:rPr>
                <w:sz w:val="28"/>
                <w:szCs w:val="28"/>
              </w:rPr>
              <w:t>рестриктазы</w:t>
            </w:r>
            <w:proofErr w:type="spellEnd"/>
            <w:r w:rsidRPr="003B042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5C71" w:rsidRPr="003B0428" w:rsidTr="003C20E2">
        <w:tc>
          <w:tcPr>
            <w:tcW w:w="2518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B0428">
              <w:rPr>
                <w:b/>
                <w:bCs/>
                <w:sz w:val="28"/>
                <w:szCs w:val="28"/>
              </w:rPr>
              <w:t>C</w:t>
            </w:r>
            <w:proofErr w:type="gramEnd"/>
            <w:r w:rsidRPr="003B0428">
              <w:rPr>
                <w:b/>
                <w:bCs/>
                <w:sz w:val="28"/>
                <w:szCs w:val="28"/>
              </w:rPr>
              <w:t>пецифичные</w:t>
            </w:r>
            <w:proofErr w:type="spellEnd"/>
            <w:r w:rsidRPr="003B0428">
              <w:rPr>
                <w:b/>
                <w:bCs/>
                <w:sz w:val="28"/>
                <w:szCs w:val="28"/>
              </w:rPr>
              <w:t xml:space="preserve"> методы</w:t>
            </w:r>
          </w:p>
        </w:tc>
        <w:tc>
          <w:tcPr>
            <w:tcW w:w="3969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sz w:val="28"/>
                <w:szCs w:val="28"/>
              </w:rPr>
              <w:t> </w:t>
            </w:r>
          </w:p>
        </w:tc>
      </w:tr>
      <w:tr w:rsidR="00885C71" w:rsidRPr="003B0428" w:rsidTr="003C20E2">
        <w:tc>
          <w:tcPr>
            <w:tcW w:w="2518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B0428">
              <w:rPr>
                <w:sz w:val="28"/>
                <w:szCs w:val="28"/>
              </w:rPr>
              <w:t>ТакМаны</w:t>
            </w:r>
            <w:proofErr w:type="spellEnd"/>
            <w:r w:rsidRPr="003B0428">
              <w:rPr>
                <w:sz w:val="28"/>
                <w:szCs w:val="28"/>
              </w:rPr>
              <w:t xml:space="preserve"> (</w:t>
            </w:r>
            <w:proofErr w:type="spellStart"/>
            <w:r w:rsidRPr="003B0428">
              <w:rPr>
                <w:sz w:val="28"/>
                <w:szCs w:val="28"/>
              </w:rPr>
              <w:t>TaqMan</w:t>
            </w:r>
            <w:proofErr w:type="spellEnd"/>
            <w:r w:rsidRPr="003B0428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sz w:val="28"/>
                <w:szCs w:val="28"/>
              </w:rPr>
              <w:t xml:space="preserve">Краситель и гаситель разделяются из-за 5`-экзонуклеазной активности </w:t>
            </w:r>
            <w:proofErr w:type="spellStart"/>
            <w:r w:rsidRPr="003B0428">
              <w:rPr>
                <w:sz w:val="28"/>
                <w:szCs w:val="28"/>
              </w:rPr>
              <w:t>Taq</w:t>
            </w:r>
            <w:proofErr w:type="spellEnd"/>
            <w:r w:rsidRPr="003B0428">
              <w:rPr>
                <w:sz w:val="28"/>
                <w:szCs w:val="28"/>
              </w:rPr>
              <w:t>-полимеразы.</w:t>
            </w:r>
          </w:p>
        </w:tc>
        <w:tc>
          <w:tcPr>
            <w:tcW w:w="3260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sz w:val="28"/>
                <w:szCs w:val="28"/>
              </w:rPr>
              <w:t>Высокий уровень сигнала, легкость дизайна и синтеза, плохое соотношение сигнал/шум, проблемы с дискриминацией некоторых последовательностей.</w:t>
            </w:r>
          </w:p>
        </w:tc>
      </w:tr>
      <w:tr w:rsidR="00885C71" w:rsidRPr="003B0428" w:rsidTr="003C20E2">
        <w:tc>
          <w:tcPr>
            <w:tcW w:w="2518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B0428">
              <w:rPr>
                <w:sz w:val="28"/>
                <w:szCs w:val="28"/>
              </w:rPr>
              <w:t>Molecular</w:t>
            </w:r>
            <w:proofErr w:type="spellEnd"/>
            <w:r w:rsidRPr="003B0428">
              <w:rPr>
                <w:sz w:val="28"/>
                <w:szCs w:val="28"/>
              </w:rPr>
              <w:t xml:space="preserve"> </w:t>
            </w:r>
            <w:proofErr w:type="spellStart"/>
            <w:r w:rsidRPr="003B0428">
              <w:rPr>
                <w:sz w:val="28"/>
                <w:szCs w:val="28"/>
              </w:rPr>
              <w:t>Beacons</w:t>
            </w:r>
            <w:proofErr w:type="spellEnd"/>
          </w:p>
        </w:tc>
        <w:tc>
          <w:tcPr>
            <w:tcW w:w="3969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sz w:val="28"/>
                <w:szCs w:val="28"/>
              </w:rPr>
              <w:t xml:space="preserve">Краситель и гаситель разделяются после связывания зонда с </w:t>
            </w:r>
            <w:proofErr w:type="spellStart"/>
            <w:r w:rsidRPr="003B0428">
              <w:rPr>
                <w:sz w:val="28"/>
                <w:szCs w:val="28"/>
              </w:rPr>
              <w:t>ампликоном</w:t>
            </w:r>
            <w:proofErr w:type="spellEnd"/>
            <w:r w:rsidRPr="003B0428">
              <w:rPr>
                <w:sz w:val="28"/>
                <w:szCs w:val="28"/>
              </w:rPr>
              <w:t xml:space="preserve"> и раскрытия шпильки.</w:t>
            </w:r>
          </w:p>
        </w:tc>
        <w:tc>
          <w:tcPr>
            <w:tcW w:w="3260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sz w:val="28"/>
                <w:szCs w:val="28"/>
              </w:rPr>
              <w:t xml:space="preserve">Низкий уровень сигнала из-за кинетики реакции, </w:t>
            </w:r>
            <w:proofErr w:type="spellStart"/>
            <w:r w:rsidRPr="003B0428">
              <w:rPr>
                <w:sz w:val="28"/>
                <w:szCs w:val="28"/>
              </w:rPr>
              <w:t>хорошое</w:t>
            </w:r>
            <w:proofErr w:type="spellEnd"/>
            <w:r w:rsidRPr="003B0428">
              <w:rPr>
                <w:sz w:val="28"/>
                <w:szCs w:val="28"/>
              </w:rPr>
              <w:t xml:space="preserve"> соотношение сигнал/шум.</w:t>
            </w:r>
          </w:p>
        </w:tc>
      </w:tr>
      <w:tr w:rsidR="00885C71" w:rsidRPr="003B0428" w:rsidTr="003C20E2">
        <w:tc>
          <w:tcPr>
            <w:tcW w:w="2518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B0428">
              <w:rPr>
                <w:sz w:val="28"/>
                <w:szCs w:val="28"/>
              </w:rPr>
              <w:t>Eclipse</w:t>
            </w:r>
            <w:proofErr w:type="spellEnd"/>
          </w:p>
        </w:tc>
        <w:tc>
          <w:tcPr>
            <w:tcW w:w="3969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sz w:val="28"/>
                <w:szCs w:val="28"/>
              </w:rPr>
              <w:t xml:space="preserve">Аналогичны </w:t>
            </w:r>
            <w:proofErr w:type="spellStart"/>
            <w:r w:rsidRPr="003B0428">
              <w:rPr>
                <w:sz w:val="28"/>
                <w:szCs w:val="28"/>
              </w:rPr>
              <w:t>ТакМанам</w:t>
            </w:r>
            <w:proofErr w:type="spellEnd"/>
            <w:r w:rsidRPr="003B0428">
              <w:rPr>
                <w:sz w:val="28"/>
                <w:szCs w:val="28"/>
              </w:rPr>
              <w:t xml:space="preserve">, но устойчивы к </w:t>
            </w:r>
            <w:proofErr w:type="spellStart"/>
            <w:r w:rsidRPr="003B0428">
              <w:rPr>
                <w:sz w:val="28"/>
                <w:szCs w:val="28"/>
              </w:rPr>
              <w:t>экзонуклеазной</w:t>
            </w:r>
            <w:proofErr w:type="spellEnd"/>
            <w:r w:rsidRPr="003B0428">
              <w:rPr>
                <w:sz w:val="28"/>
                <w:szCs w:val="28"/>
              </w:rPr>
              <w:t xml:space="preserve"> активности полимеразы, сигнал генерируется после связывания зонда с </w:t>
            </w:r>
            <w:proofErr w:type="spellStart"/>
            <w:r w:rsidRPr="003B0428">
              <w:rPr>
                <w:sz w:val="28"/>
                <w:szCs w:val="28"/>
              </w:rPr>
              <w:t>ампликоном</w:t>
            </w:r>
            <w:proofErr w:type="spellEnd"/>
            <w:r w:rsidRPr="003B042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sz w:val="28"/>
                <w:szCs w:val="28"/>
              </w:rPr>
              <w:t>Высокий уровень сигнала, легкость дизайна и синтеза, плохое соотношение сигнал/шум, проблемы с дискриминацией некоторых последовательностей.</w:t>
            </w:r>
          </w:p>
        </w:tc>
      </w:tr>
      <w:tr w:rsidR="00885C71" w:rsidRPr="003B0428" w:rsidTr="003C20E2">
        <w:tc>
          <w:tcPr>
            <w:tcW w:w="2518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B0428">
              <w:rPr>
                <w:sz w:val="28"/>
                <w:szCs w:val="28"/>
              </w:rPr>
              <w:t>Hyb</w:t>
            </w:r>
            <w:proofErr w:type="spellEnd"/>
            <w:r w:rsidRPr="003B0428">
              <w:rPr>
                <w:sz w:val="28"/>
                <w:szCs w:val="28"/>
              </w:rPr>
              <w:t xml:space="preserve"> </w:t>
            </w:r>
            <w:proofErr w:type="spellStart"/>
            <w:r w:rsidRPr="003B0428">
              <w:rPr>
                <w:sz w:val="28"/>
                <w:szCs w:val="28"/>
              </w:rPr>
              <w:t>probes</w:t>
            </w:r>
            <w:proofErr w:type="spellEnd"/>
          </w:p>
        </w:tc>
        <w:tc>
          <w:tcPr>
            <w:tcW w:w="3969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sz w:val="28"/>
                <w:szCs w:val="28"/>
              </w:rPr>
              <w:t xml:space="preserve">Два красителя сближаются после связывания зондов с </w:t>
            </w:r>
            <w:proofErr w:type="spellStart"/>
            <w:r w:rsidRPr="003B0428">
              <w:rPr>
                <w:sz w:val="28"/>
                <w:szCs w:val="28"/>
              </w:rPr>
              <w:t>ампликоном</w:t>
            </w:r>
            <w:proofErr w:type="spellEnd"/>
            <w:r w:rsidRPr="003B0428">
              <w:rPr>
                <w:sz w:val="28"/>
                <w:szCs w:val="28"/>
              </w:rPr>
              <w:t>, сигнал генерируется с помощью механизма FRET.</w:t>
            </w:r>
          </w:p>
        </w:tc>
        <w:tc>
          <w:tcPr>
            <w:tcW w:w="3260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sz w:val="28"/>
                <w:szCs w:val="28"/>
              </w:rPr>
              <w:t>Плохое соотношение сигнал/шум, не подходит для всех приборов, реакция требует тримолекулярного взаимодействия.</w:t>
            </w:r>
          </w:p>
        </w:tc>
      </w:tr>
      <w:tr w:rsidR="00885C71" w:rsidRPr="003B0428" w:rsidTr="003C20E2">
        <w:tc>
          <w:tcPr>
            <w:tcW w:w="2518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B0428">
              <w:rPr>
                <w:sz w:val="28"/>
                <w:szCs w:val="28"/>
              </w:rPr>
              <w:t>Scorpions</w:t>
            </w:r>
            <w:proofErr w:type="spellEnd"/>
          </w:p>
        </w:tc>
        <w:tc>
          <w:tcPr>
            <w:tcW w:w="3969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sz w:val="28"/>
                <w:szCs w:val="28"/>
              </w:rPr>
              <w:t>Зонд-</w:t>
            </w:r>
            <w:proofErr w:type="spellStart"/>
            <w:r w:rsidRPr="003B0428">
              <w:rPr>
                <w:sz w:val="28"/>
                <w:szCs w:val="28"/>
              </w:rPr>
              <w:t>праймер</w:t>
            </w:r>
            <w:proofErr w:type="spellEnd"/>
            <w:r w:rsidRPr="003B0428">
              <w:rPr>
                <w:sz w:val="28"/>
                <w:szCs w:val="28"/>
              </w:rPr>
              <w:t xml:space="preserve"> включается в ПЦР продукт, сигнал генерируется после раскрытия шпильки и связывания свободного конца зонда с </w:t>
            </w:r>
            <w:proofErr w:type="spellStart"/>
            <w:r w:rsidRPr="003B0428">
              <w:rPr>
                <w:sz w:val="28"/>
                <w:szCs w:val="28"/>
              </w:rPr>
              <w:t>ампликоном</w:t>
            </w:r>
            <w:proofErr w:type="spellEnd"/>
            <w:r w:rsidRPr="003B042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hideMark/>
          </w:tcPr>
          <w:p w:rsidR="00885C71" w:rsidRPr="003B0428" w:rsidRDefault="00885C71" w:rsidP="003C20E2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428">
              <w:rPr>
                <w:sz w:val="28"/>
                <w:szCs w:val="28"/>
              </w:rPr>
              <w:t>Отличное соотношение сигнал/шум, мономолекулярная реакция, сравнительно дорогой синтез.</w:t>
            </w:r>
          </w:p>
        </w:tc>
      </w:tr>
    </w:tbl>
    <w:p w:rsidR="00F66ABA" w:rsidRDefault="00F66ABA"/>
    <w:p w:rsidR="00885C71" w:rsidRDefault="00885C71"/>
    <w:p w:rsidR="00885C71" w:rsidRPr="0020185F" w:rsidRDefault="00885C71" w:rsidP="00885C7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85F">
        <w:rPr>
          <w:rFonts w:ascii="Times New Roman" w:hAnsi="Times New Roman"/>
          <w:bCs/>
          <w:sz w:val="28"/>
          <w:szCs w:val="28"/>
        </w:rPr>
        <w:t>ЗАНЯТИЕ № 2</w:t>
      </w:r>
      <w:r>
        <w:rPr>
          <w:rFonts w:ascii="Times New Roman" w:hAnsi="Times New Roman"/>
          <w:bCs/>
          <w:sz w:val="28"/>
          <w:szCs w:val="28"/>
        </w:rPr>
        <w:t>5</w:t>
      </w:r>
      <w:r w:rsidRPr="0020185F">
        <w:rPr>
          <w:rFonts w:ascii="Times New Roman" w:hAnsi="Times New Roman"/>
          <w:bCs/>
          <w:sz w:val="28"/>
          <w:szCs w:val="28"/>
        </w:rPr>
        <w:t xml:space="preserve"> (Лабораторное).</w:t>
      </w:r>
    </w:p>
    <w:p w:rsidR="00885C71" w:rsidRPr="007116D4" w:rsidRDefault="00885C71" w:rsidP="00885C7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116D4">
        <w:rPr>
          <w:rFonts w:ascii="Times New Roman" w:hAnsi="Times New Roman"/>
          <w:b/>
          <w:bCs/>
          <w:sz w:val="28"/>
          <w:szCs w:val="28"/>
        </w:rPr>
        <w:lastRenderedPageBreak/>
        <w:t>Флуоресцентная</w:t>
      </w:r>
      <w:proofErr w:type="gramEnd"/>
      <w:r w:rsidRPr="007116D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116D4">
        <w:rPr>
          <w:rFonts w:ascii="Times New Roman" w:hAnsi="Times New Roman"/>
          <w:b/>
          <w:bCs/>
          <w:sz w:val="28"/>
          <w:szCs w:val="28"/>
        </w:rPr>
        <w:t>детекция</w:t>
      </w:r>
      <w:proofErr w:type="spellEnd"/>
      <w:r w:rsidRPr="007116D4">
        <w:rPr>
          <w:rFonts w:ascii="Times New Roman" w:hAnsi="Times New Roman"/>
          <w:b/>
          <w:bCs/>
          <w:sz w:val="28"/>
          <w:szCs w:val="28"/>
        </w:rPr>
        <w:t xml:space="preserve"> результатов ПЦР.</w:t>
      </w:r>
    </w:p>
    <w:p w:rsidR="00885C71" w:rsidRDefault="00885C71" w:rsidP="00885C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C71" w:rsidRPr="007116D4" w:rsidRDefault="00885C71" w:rsidP="00885C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6D4">
        <w:rPr>
          <w:rFonts w:ascii="Times New Roman" w:hAnsi="Times New Roman"/>
          <w:b/>
          <w:bCs/>
          <w:sz w:val="28"/>
          <w:szCs w:val="28"/>
        </w:rPr>
        <w:t>ПЦР в реальном времени (</w:t>
      </w:r>
      <w:proofErr w:type="spellStart"/>
      <w:r w:rsidRPr="007116D4">
        <w:rPr>
          <w:rFonts w:ascii="Times New Roman" w:hAnsi="Times New Roman"/>
          <w:b/>
          <w:bCs/>
          <w:sz w:val="28"/>
          <w:szCs w:val="28"/>
        </w:rPr>
        <w:t>Real-Time</w:t>
      </w:r>
      <w:proofErr w:type="spellEnd"/>
      <w:r w:rsidRPr="007116D4">
        <w:rPr>
          <w:rFonts w:ascii="Times New Roman" w:hAnsi="Times New Roman"/>
          <w:b/>
          <w:bCs/>
          <w:sz w:val="28"/>
          <w:szCs w:val="28"/>
        </w:rPr>
        <w:t xml:space="preserve"> PCR) </w:t>
      </w:r>
      <w:r w:rsidRPr="007116D4">
        <w:rPr>
          <w:rFonts w:ascii="Times New Roman" w:hAnsi="Times New Roman"/>
          <w:sz w:val="28"/>
          <w:szCs w:val="28"/>
        </w:rPr>
        <w:t xml:space="preserve"> — В настоящее время на смену визуальной оценке результатов ПЦР методом электрофореза уверенно приходят флуоресцентные методы </w:t>
      </w:r>
      <w:proofErr w:type="spellStart"/>
      <w:r w:rsidRPr="007116D4">
        <w:rPr>
          <w:rFonts w:ascii="Times New Roman" w:hAnsi="Times New Roman"/>
          <w:sz w:val="28"/>
          <w:szCs w:val="28"/>
        </w:rPr>
        <w:t>детекции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продуктов амплификации. Получать и интерпретировать результаты ПЦР становится проще, быстрее и надежнее.</w:t>
      </w:r>
    </w:p>
    <w:p w:rsidR="00885C71" w:rsidRPr="007116D4" w:rsidRDefault="00885C71" w:rsidP="00885C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6D4">
        <w:rPr>
          <w:rFonts w:ascii="Times New Roman" w:hAnsi="Times New Roman"/>
          <w:sz w:val="28"/>
          <w:szCs w:val="28"/>
        </w:rPr>
        <w:t xml:space="preserve">Одним из флуоресцентных методов является метод ПЦР в режиме реального времени. В его основе лежит принцип флуоресцентной </w:t>
      </w:r>
      <w:proofErr w:type="spellStart"/>
      <w:r w:rsidRPr="007116D4">
        <w:rPr>
          <w:rFonts w:ascii="Times New Roman" w:hAnsi="Times New Roman"/>
          <w:sz w:val="28"/>
          <w:szCs w:val="28"/>
        </w:rPr>
        <w:t>детекции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продуктов ПЦР непосредственно в ходе амплификации. </w:t>
      </w:r>
      <w:proofErr w:type="spellStart"/>
      <w:r w:rsidRPr="007116D4">
        <w:rPr>
          <w:rFonts w:ascii="Times New Roman" w:hAnsi="Times New Roman"/>
          <w:sz w:val="28"/>
          <w:szCs w:val="28"/>
        </w:rPr>
        <w:t>Детекция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продуктов амплификации проводится прямо в реакционной среде через стенки или крышку закрытой пробирки.</w:t>
      </w:r>
    </w:p>
    <w:p w:rsidR="00885C71" w:rsidRPr="007116D4" w:rsidRDefault="00885C71" w:rsidP="00885C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6D4">
        <w:rPr>
          <w:rFonts w:ascii="Times New Roman" w:hAnsi="Times New Roman"/>
          <w:b/>
          <w:bCs/>
          <w:sz w:val="28"/>
          <w:szCs w:val="28"/>
        </w:rPr>
        <w:t>1.  </w:t>
      </w:r>
      <w:r w:rsidRPr="007116D4">
        <w:rPr>
          <w:rFonts w:ascii="Times New Roman" w:hAnsi="Times New Roman"/>
          <w:sz w:val="28"/>
          <w:szCs w:val="28"/>
        </w:rPr>
        <w:t xml:space="preserve"> В состав реакционной смеси наряду с </w:t>
      </w:r>
      <w:proofErr w:type="spellStart"/>
      <w:r w:rsidRPr="007116D4">
        <w:rPr>
          <w:rFonts w:ascii="Times New Roman" w:hAnsi="Times New Roman"/>
          <w:sz w:val="28"/>
          <w:szCs w:val="28"/>
        </w:rPr>
        <w:t>праймерами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и остальными компонентами реакции добавлены специальные флуоресцентные метки (зонды). Флуоресцентный зонд представляет собой </w:t>
      </w:r>
      <w:proofErr w:type="spellStart"/>
      <w:r w:rsidRPr="007116D4">
        <w:rPr>
          <w:rFonts w:ascii="Times New Roman" w:hAnsi="Times New Roman"/>
          <w:sz w:val="28"/>
          <w:szCs w:val="28"/>
        </w:rPr>
        <w:t>олигонуклеотид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, комплементарный внутренней последовательности </w:t>
      </w:r>
      <w:proofErr w:type="spellStart"/>
      <w:r w:rsidRPr="007116D4">
        <w:rPr>
          <w:rFonts w:ascii="Times New Roman" w:hAnsi="Times New Roman"/>
          <w:sz w:val="28"/>
          <w:szCs w:val="28"/>
        </w:rPr>
        <w:t>амплифицируемого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фрагмента ДНК возбудителя. На 3’-конце зонда находится флуоресцентная молекула – </w:t>
      </w:r>
      <w:proofErr w:type="spellStart"/>
      <w:r w:rsidRPr="007116D4">
        <w:rPr>
          <w:rFonts w:ascii="Times New Roman" w:hAnsi="Times New Roman"/>
          <w:sz w:val="28"/>
          <w:szCs w:val="28"/>
        </w:rPr>
        <w:t>флуорофор</w:t>
      </w:r>
      <w:proofErr w:type="spellEnd"/>
      <w:r w:rsidRPr="007116D4">
        <w:rPr>
          <w:rFonts w:ascii="Times New Roman" w:hAnsi="Times New Roman"/>
          <w:sz w:val="28"/>
          <w:szCs w:val="28"/>
        </w:rPr>
        <w:t>, а на 5’-конце расположена молекул</w:t>
      </w:r>
      <w:proofErr w:type="gramStart"/>
      <w:r w:rsidRPr="007116D4">
        <w:rPr>
          <w:rFonts w:ascii="Times New Roman" w:hAnsi="Times New Roman"/>
          <w:sz w:val="28"/>
          <w:szCs w:val="28"/>
        </w:rPr>
        <w:t>а-</w:t>
      </w:r>
      <w:proofErr w:type="gramEnd"/>
      <w:r w:rsidRPr="007116D4">
        <w:rPr>
          <w:rFonts w:ascii="Times New Roman" w:hAnsi="Times New Roman"/>
          <w:sz w:val="28"/>
          <w:szCs w:val="28"/>
        </w:rPr>
        <w:t xml:space="preserve">“гаситель” флуоресценции. За счет близости </w:t>
      </w:r>
      <w:proofErr w:type="spellStart"/>
      <w:r w:rsidRPr="007116D4">
        <w:rPr>
          <w:rFonts w:ascii="Times New Roman" w:hAnsi="Times New Roman"/>
          <w:sz w:val="28"/>
          <w:szCs w:val="28"/>
        </w:rPr>
        <w:t>флуорофора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и “гасителя” вся энергия, поглощенная </w:t>
      </w:r>
      <w:proofErr w:type="spellStart"/>
      <w:r w:rsidRPr="007116D4">
        <w:rPr>
          <w:rFonts w:ascii="Times New Roman" w:hAnsi="Times New Roman"/>
          <w:sz w:val="28"/>
          <w:szCs w:val="28"/>
        </w:rPr>
        <w:t>флуорофором</w:t>
      </w:r>
      <w:proofErr w:type="spellEnd"/>
      <w:r w:rsidRPr="007116D4">
        <w:rPr>
          <w:rFonts w:ascii="Times New Roman" w:hAnsi="Times New Roman"/>
          <w:sz w:val="28"/>
          <w:szCs w:val="28"/>
        </w:rPr>
        <w:t>, переходит на “гаситель” по принципу флуоресцентно-резонансного переноса энергии. При этом сигнал флуоресценции отсутствует.</w:t>
      </w:r>
    </w:p>
    <w:p w:rsidR="00885C71" w:rsidRPr="007116D4" w:rsidRDefault="00885C71" w:rsidP="00885C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6D4">
        <w:rPr>
          <w:rFonts w:ascii="Times New Roman" w:hAnsi="Times New Roman"/>
          <w:b/>
          <w:bCs/>
          <w:sz w:val="28"/>
          <w:szCs w:val="28"/>
        </w:rPr>
        <w:t>2.  </w:t>
      </w:r>
      <w:r w:rsidRPr="007116D4">
        <w:rPr>
          <w:rFonts w:ascii="Times New Roman" w:hAnsi="Times New Roman"/>
          <w:sz w:val="28"/>
          <w:szCs w:val="28"/>
        </w:rPr>
        <w:t xml:space="preserve"> В ходе ПЦР при повышении температуры происходит денатурация ДНК возбудителя, и зонд наряду с </w:t>
      </w:r>
      <w:proofErr w:type="spellStart"/>
      <w:r w:rsidRPr="007116D4">
        <w:rPr>
          <w:rFonts w:ascii="Times New Roman" w:hAnsi="Times New Roman"/>
          <w:sz w:val="28"/>
          <w:szCs w:val="28"/>
        </w:rPr>
        <w:t>праймерами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6D4">
        <w:rPr>
          <w:rFonts w:ascii="Times New Roman" w:hAnsi="Times New Roman"/>
          <w:sz w:val="28"/>
          <w:szCs w:val="28"/>
        </w:rPr>
        <w:t>гибридизуется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с комплементарным участком ДНК.</w:t>
      </w:r>
    </w:p>
    <w:p w:rsidR="00885C71" w:rsidRPr="007116D4" w:rsidRDefault="00885C71" w:rsidP="00885C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6D4">
        <w:rPr>
          <w:rFonts w:ascii="Times New Roman" w:hAnsi="Times New Roman"/>
          <w:b/>
          <w:bCs/>
          <w:sz w:val="28"/>
          <w:szCs w:val="28"/>
        </w:rPr>
        <w:t>3.  </w:t>
      </w:r>
      <w:r w:rsidRPr="007116D4">
        <w:rPr>
          <w:rFonts w:ascii="Times New Roman" w:hAnsi="Times New Roman"/>
          <w:sz w:val="28"/>
          <w:szCs w:val="28"/>
        </w:rPr>
        <w:t xml:space="preserve"> В процессе синтеза новой цепи ДНК, фермент ДНК-полимераза расщепляет этот зонд. При расщеплении зонда </w:t>
      </w:r>
      <w:proofErr w:type="spellStart"/>
      <w:r w:rsidRPr="007116D4">
        <w:rPr>
          <w:rFonts w:ascii="Times New Roman" w:hAnsi="Times New Roman"/>
          <w:sz w:val="28"/>
          <w:szCs w:val="28"/>
        </w:rPr>
        <w:t>флуорофор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отделяется от “гасителя”, расстояние между ними увеличивается, процесс тушения флуоресценции становится невозможным. В этот момент можно зарегистрировать флуоресцентный сигнал от </w:t>
      </w:r>
      <w:proofErr w:type="spellStart"/>
      <w:r w:rsidRPr="007116D4">
        <w:rPr>
          <w:rFonts w:ascii="Times New Roman" w:hAnsi="Times New Roman"/>
          <w:sz w:val="28"/>
          <w:szCs w:val="28"/>
        </w:rPr>
        <w:t>флуорофора</w:t>
      </w:r>
      <w:proofErr w:type="spellEnd"/>
      <w:r w:rsidRPr="007116D4">
        <w:rPr>
          <w:rFonts w:ascii="Times New Roman" w:hAnsi="Times New Roman"/>
          <w:sz w:val="28"/>
          <w:szCs w:val="28"/>
        </w:rPr>
        <w:t>.</w:t>
      </w:r>
    </w:p>
    <w:p w:rsidR="00885C71" w:rsidRPr="007116D4" w:rsidRDefault="00885C71" w:rsidP="00885C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6D4">
        <w:rPr>
          <w:rFonts w:ascii="Times New Roman" w:hAnsi="Times New Roman"/>
          <w:sz w:val="28"/>
          <w:szCs w:val="28"/>
        </w:rPr>
        <w:t>В результате такого принципа неспецифическая амплификация не обнаруживается.</w:t>
      </w:r>
    </w:p>
    <w:p w:rsidR="00885C71" w:rsidRPr="007116D4" w:rsidRDefault="00885C71" w:rsidP="00885C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6D4">
        <w:rPr>
          <w:rFonts w:ascii="Times New Roman" w:hAnsi="Times New Roman"/>
          <w:b/>
          <w:bCs/>
          <w:sz w:val="28"/>
          <w:szCs w:val="28"/>
        </w:rPr>
        <w:t>ПЦР “в реальном времени”</w:t>
      </w:r>
      <w:r w:rsidRPr="007116D4">
        <w:rPr>
          <w:rFonts w:ascii="Times New Roman" w:hAnsi="Times New Roman"/>
          <w:sz w:val="28"/>
          <w:szCs w:val="28"/>
        </w:rPr>
        <w:t> имеет ряд значительных преимуществ:</w:t>
      </w:r>
    </w:p>
    <w:p w:rsidR="00885C71" w:rsidRPr="007116D4" w:rsidRDefault="00885C71" w:rsidP="00885C7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16D4">
        <w:rPr>
          <w:rFonts w:ascii="Times New Roman" w:hAnsi="Times New Roman"/>
          <w:sz w:val="28"/>
          <w:szCs w:val="28"/>
        </w:rPr>
        <w:t xml:space="preserve">Объединение этапов амплификации и </w:t>
      </w:r>
      <w:proofErr w:type="spellStart"/>
      <w:r w:rsidRPr="007116D4">
        <w:rPr>
          <w:rFonts w:ascii="Times New Roman" w:hAnsi="Times New Roman"/>
          <w:sz w:val="28"/>
          <w:szCs w:val="28"/>
        </w:rPr>
        <w:t>детекции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результатов. Появляется возможность оценить кинетику процесса, которая зависит от начального количества исследуемого материала</w:t>
      </w:r>
    </w:p>
    <w:p w:rsidR="00885C71" w:rsidRPr="007116D4" w:rsidRDefault="00885C71" w:rsidP="00885C7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16D4">
        <w:rPr>
          <w:rFonts w:ascii="Times New Roman" w:hAnsi="Times New Roman"/>
          <w:sz w:val="28"/>
          <w:szCs w:val="28"/>
        </w:rPr>
        <w:t>Существенное снижение риска контаминации и ошибок при анализе результатов</w:t>
      </w:r>
    </w:p>
    <w:p w:rsidR="00885C71" w:rsidRPr="007116D4" w:rsidRDefault="00885C71" w:rsidP="00885C7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16D4">
        <w:rPr>
          <w:rFonts w:ascii="Times New Roman" w:hAnsi="Times New Roman"/>
          <w:sz w:val="28"/>
          <w:szCs w:val="28"/>
        </w:rPr>
        <w:lastRenderedPageBreak/>
        <w:t>Высокая специфичность реакции за счет использования высокоспецифичных флуоресцентных зондов.</w:t>
      </w:r>
    </w:p>
    <w:p w:rsidR="00885C71" w:rsidRPr="007116D4" w:rsidRDefault="00885C71" w:rsidP="00885C7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16D4">
        <w:rPr>
          <w:rFonts w:ascii="Times New Roman" w:hAnsi="Times New Roman"/>
          <w:sz w:val="28"/>
          <w:szCs w:val="28"/>
        </w:rPr>
        <w:t>Высокая производительность</w:t>
      </w:r>
    </w:p>
    <w:p w:rsidR="00885C71" w:rsidRPr="007116D4" w:rsidRDefault="00885C71" w:rsidP="00885C7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16D4">
        <w:rPr>
          <w:rFonts w:ascii="Times New Roman" w:hAnsi="Times New Roman"/>
          <w:sz w:val="28"/>
          <w:szCs w:val="28"/>
        </w:rPr>
        <w:t>Упрощение требований к организации ПЦР-лаборатории</w:t>
      </w:r>
    </w:p>
    <w:p w:rsidR="00885C71" w:rsidRPr="007116D4" w:rsidRDefault="00885C71" w:rsidP="00885C7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16D4">
        <w:rPr>
          <w:rFonts w:ascii="Times New Roman" w:hAnsi="Times New Roman"/>
          <w:sz w:val="28"/>
          <w:szCs w:val="28"/>
        </w:rPr>
        <w:t>Возможность количественной оценки исходной ДНК матрицы</w:t>
      </w:r>
    </w:p>
    <w:p w:rsidR="00885C71" w:rsidRPr="007116D4" w:rsidRDefault="00885C71" w:rsidP="00885C7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116D4">
        <w:rPr>
          <w:rFonts w:ascii="Times New Roman" w:hAnsi="Times New Roman"/>
          <w:sz w:val="28"/>
          <w:szCs w:val="28"/>
        </w:rPr>
        <w:t>Регистрация и учет данных в электронном формате</w:t>
      </w:r>
    </w:p>
    <w:p w:rsidR="00885C71" w:rsidRPr="007116D4" w:rsidRDefault="00885C71" w:rsidP="00885C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6D4">
        <w:rPr>
          <w:rFonts w:ascii="Times New Roman" w:hAnsi="Times New Roman"/>
          <w:sz w:val="28"/>
          <w:szCs w:val="28"/>
        </w:rPr>
        <w:t xml:space="preserve">ПЦР “в реальном времени” характеризуется возможностью проведения качественного и количественного анализа. Регистрируемое в процессе амплификации нарастание сигнала от отделенного </w:t>
      </w:r>
      <w:proofErr w:type="spellStart"/>
      <w:r w:rsidRPr="007116D4">
        <w:rPr>
          <w:rFonts w:ascii="Times New Roman" w:hAnsi="Times New Roman"/>
          <w:sz w:val="28"/>
          <w:szCs w:val="28"/>
        </w:rPr>
        <w:t>флуорофора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прямо пропорционально увеличению концентрации синтезированных специфических продуктов и отражает концентрацию ДНК в исходной матрице.</w:t>
      </w:r>
    </w:p>
    <w:p w:rsidR="00885C71" w:rsidRPr="007116D4" w:rsidRDefault="00885C71" w:rsidP="00885C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6D4">
        <w:rPr>
          <w:rFonts w:ascii="Times New Roman" w:hAnsi="Times New Roman"/>
          <w:sz w:val="28"/>
          <w:szCs w:val="28"/>
        </w:rPr>
        <w:t>Для проведения анализа необходим специальный прибор - </w:t>
      </w:r>
      <w:proofErr w:type="spellStart"/>
      <w:r w:rsidRPr="007116D4">
        <w:rPr>
          <w:rFonts w:ascii="Times New Roman" w:hAnsi="Times New Roman"/>
          <w:sz w:val="28"/>
          <w:szCs w:val="28"/>
        </w:rPr>
        <w:t>амплификатор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 для ПЦР в реальном времени, который совмещает в себе функции </w:t>
      </w:r>
      <w:proofErr w:type="spellStart"/>
      <w:r w:rsidRPr="007116D4">
        <w:rPr>
          <w:rFonts w:ascii="Times New Roman" w:hAnsi="Times New Roman"/>
          <w:sz w:val="28"/>
          <w:szCs w:val="28"/>
        </w:rPr>
        <w:t>термоциклера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и флуоресцентного детектора (</w:t>
      </w:r>
      <w:proofErr w:type="spellStart"/>
      <w:r w:rsidRPr="007116D4">
        <w:rPr>
          <w:rFonts w:ascii="Times New Roman" w:hAnsi="Times New Roman"/>
          <w:sz w:val="28"/>
          <w:szCs w:val="28"/>
        </w:rPr>
        <w:t>iCycler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iQ5, CFX96 (</w:t>
      </w:r>
      <w:proofErr w:type="spellStart"/>
      <w:r w:rsidRPr="007116D4">
        <w:rPr>
          <w:rFonts w:ascii="Times New Roman" w:hAnsi="Times New Roman"/>
          <w:sz w:val="28"/>
          <w:szCs w:val="28"/>
        </w:rPr>
        <w:t>Bio-Rad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); ДТ-322, ДТ-96 (ДНК-Технология); </w:t>
      </w:r>
      <w:proofErr w:type="spellStart"/>
      <w:r w:rsidRPr="007116D4">
        <w:rPr>
          <w:rFonts w:ascii="Times New Roman" w:hAnsi="Times New Roman"/>
          <w:sz w:val="28"/>
          <w:szCs w:val="28"/>
        </w:rPr>
        <w:t>Rotor-Gene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3000, </w:t>
      </w:r>
      <w:proofErr w:type="spellStart"/>
      <w:r w:rsidRPr="007116D4">
        <w:rPr>
          <w:rFonts w:ascii="Times New Roman" w:hAnsi="Times New Roman"/>
          <w:sz w:val="28"/>
          <w:szCs w:val="28"/>
        </w:rPr>
        <w:t>Rotor-Gene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6000, </w:t>
      </w:r>
      <w:proofErr w:type="spellStart"/>
      <w:r w:rsidRPr="007116D4">
        <w:rPr>
          <w:rFonts w:ascii="Times New Roman" w:hAnsi="Times New Roman"/>
          <w:sz w:val="28"/>
          <w:szCs w:val="28"/>
        </w:rPr>
        <w:t>Rotor-Gene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Q </w:t>
      </w:r>
      <w:proofErr w:type="gramStart"/>
      <w:r w:rsidRPr="007116D4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7116D4">
        <w:rPr>
          <w:rFonts w:ascii="Times New Roman" w:hAnsi="Times New Roman"/>
          <w:sz w:val="28"/>
          <w:szCs w:val="28"/>
        </w:rPr>
        <w:t>Corbett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16D4">
        <w:rPr>
          <w:rFonts w:ascii="Times New Roman" w:hAnsi="Times New Roman"/>
          <w:sz w:val="28"/>
          <w:szCs w:val="28"/>
        </w:rPr>
        <w:t>Research</w:t>
      </w:r>
      <w:proofErr w:type="spellEnd"/>
      <w:r w:rsidRPr="007116D4">
        <w:rPr>
          <w:rFonts w:ascii="Times New Roman" w:hAnsi="Times New Roman"/>
          <w:sz w:val="28"/>
          <w:szCs w:val="28"/>
        </w:rPr>
        <w:t>/</w:t>
      </w:r>
      <w:proofErr w:type="spellStart"/>
      <w:r w:rsidRPr="007116D4">
        <w:rPr>
          <w:rFonts w:ascii="Times New Roman" w:hAnsi="Times New Roman"/>
          <w:sz w:val="28"/>
          <w:szCs w:val="28"/>
        </w:rPr>
        <w:t>Qiagen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7116D4">
        <w:rPr>
          <w:rFonts w:ascii="Times New Roman" w:hAnsi="Times New Roman"/>
          <w:sz w:val="28"/>
          <w:szCs w:val="28"/>
        </w:rPr>
        <w:t>Cobas</w:t>
      </w:r>
      <w:proofErr w:type="spellEnd"/>
      <w:r w:rsidRPr="007116D4">
        <w:rPr>
          <w:rFonts w:ascii="Times New Roman" w:hAnsi="Times New Roman"/>
          <w:sz w:val="28"/>
          <w:szCs w:val="28"/>
        </w:rPr>
        <w:t xml:space="preserve"> TagMan48 (</w:t>
      </w:r>
      <w:proofErr w:type="spellStart"/>
      <w:r w:rsidRPr="007116D4">
        <w:rPr>
          <w:rFonts w:ascii="Times New Roman" w:hAnsi="Times New Roman"/>
          <w:sz w:val="28"/>
          <w:szCs w:val="28"/>
        </w:rPr>
        <w:t>Roche</w:t>
      </w:r>
      <w:proofErr w:type="spellEnd"/>
      <w:r w:rsidRPr="007116D4">
        <w:rPr>
          <w:rFonts w:ascii="Times New Roman" w:hAnsi="Times New Roman"/>
          <w:sz w:val="28"/>
          <w:szCs w:val="28"/>
        </w:rPr>
        <w:t>)и др.</w:t>
      </w:r>
    </w:p>
    <w:p w:rsidR="00885C71" w:rsidRPr="007116D4" w:rsidRDefault="00885C71" w:rsidP="00885C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16D4">
        <w:rPr>
          <w:rFonts w:ascii="Times New Roman" w:hAnsi="Times New Roman"/>
          <w:sz w:val="28"/>
          <w:szCs w:val="28"/>
        </w:rPr>
        <w:t>Программное обеспечение таких приборов позволяет сопоставлять кинетику реакции в исследуемых и стандартных образцах и вычислять концентрацию исходной матрицы ДНК (в присутствии стандартных образцов с известной концентрацией анализируемой ДНК). При выявлении ДНК возбудителей инфекционных заболеваний целесообразно использовать данный метод в количественной оценке только тех инфекционных агентов, количественное содержание которых в анализируемом образце действительно имеет клиническую значимость. Определение количественных характеристик инфекции позволяет судить о динамике и стадии заболевания, а также об эффективности проводимой терапии.</w:t>
      </w:r>
    </w:p>
    <w:p w:rsidR="00885C71" w:rsidRDefault="00885C71"/>
    <w:sectPr w:rsidR="0088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BB2"/>
    <w:multiLevelType w:val="hybridMultilevel"/>
    <w:tmpl w:val="D6F654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062403"/>
    <w:multiLevelType w:val="hybridMultilevel"/>
    <w:tmpl w:val="739A5016"/>
    <w:lvl w:ilvl="0" w:tplc="ECF4F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37CC5747"/>
    <w:multiLevelType w:val="multilevel"/>
    <w:tmpl w:val="E9F6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71"/>
    <w:rsid w:val="00885C71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7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33">
    <w:name w:val="3333"/>
    <w:basedOn w:val="2"/>
    <w:link w:val="33330"/>
    <w:qFormat/>
    <w:rsid w:val="00885C71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33330">
    <w:name w:val="3333 Знак"/>
    <w:basedOn w:val="20"/>
    <w:link w:val="3333"/>
    <w:rsid w:val="00885C71"/>
    <w:rPr>
      <w:rFonts w:ascii="Times New Roman" w:eastAsia="Times New Roman" w:hAnsi="Times New Roman" w:cs="Times New Roman"/>
      <w:b w:val="0"/>
      <w:bCs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7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33">
    <w:name w:val="3333"/>
    <w:basedOn w:val="2"/>
    <w:link w:val="33330"/>
    <w:qFormat/>
    <w:rsid w:val="00885C71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33330">
    <w:name w:val="3333 Знак"/>
    <w:basedOn w:val="20"/>
    <w:link w:val="3333"/>
    <w:rsid w:val="00885C71"/>
    <w:rPr>
      <w:rFonts w:ascii="Times New Roman" w:eastAsia="Times New Roman" w:hAnsi="Times New Roman" w:cs="Times New Roman"/>
      <w:b w:val="0"/>
      <w:bCs/>
      <w:color w:val="4F81BD" w:themeColor="accen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1410</Words>
  <Characters>8039</Characters>
  <Application>Microsoft Office Word</Application>
  <DocSecurity>0</DocSecurity>
  <Lines>66</Lines>
  <Paragraphs>18</Paragraphs>
  <ScaleCrop>false</ScaleCrop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2020-07-17T04:52:00Z</dcterms:created>
  <dcterms:modified xsi:type="dcterms:W3CDTF">2020-07-17T04:55:00Z</dcterms:modified>
</cp:coreProperties>
</file>