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6C" w:rsidRPr="00AA456C" w:rsidRDefault="0006786C" w:rsidP="0006786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Федеральное государственное бюджетное образовательное учреждение высшего образования «Волгоградский государственный медицинский университет» Министерства здравоохранения Российской федерации</w:t>
      </w: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>Реферат на тему: «Рак средостения</w:t>
      </w:r>
      <w:r w:rsidRPr="00AA456C"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  <w:t>»</w:t>
      </w: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06786C" w:rsidRPr="00AA45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50"/>
          <w:szCs w:val="50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Подготовила студентка 5 курса ПФ 3 группы </w:t>
      </w:r>
    </w:p>
    <w:p w:rsidR="0006786C" w:rsidRPr="00AA45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45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Родионова И. С.</w:t>
      </w: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6C" w:rsidRDefault="0006786C" w:rsidP="0006786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lastRenderedPageBreak/>
        <w:t>Оглавление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6786C" w:rsidRPr="0006786C" w:rsidRDefault="0006786C" w:rsidP="0006786C">
      <w:pPr>
        <w:pStyle w:val="a9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Понятие ………………………………..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…3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6786C" w:rsidRPr="0006786C" w:rsidRDefault="0006786C" w:rsidP="0006786C">
      <w:pPr>
        <w:pStyle w:val="a9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Общие сведения…………………………..3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6786C" w:rsidRPr="0006786C" w:rsidRDefault="0006786C" w:rsidP="0006786C">
      <w:pPr>
        <w:pStyle w:val="a9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Причины…………………………………..3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6786C" w:rsidRPr="0006786C" w:rsidRDefault="0006786C" w:rsidP="0006786C">
      <w:pPr>
        <w:pStyle w:val="a9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Классификация……………………………4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6786C" w:rsidRPr="0006786C" w:rsidRDefault="0006786C" w:rsidP="0006786C">
      <w:pPr>
        <w:pStyle w:val="a9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Симптомы…………………………………5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6786C" w:rsidRPr="0006786C" w:rsidRDefault="0006786C" w:rsidP="0006786C">
      <w:pPr>
        <w:pStyle w:val="a9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Диагностика……………………………….6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6786C" w:rsidRDefault="0006786C" w:rsidP="0006786C">
      <w:pPr>
        <w:pStyle w:val="a9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Лечение…………………………………….7 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6786C" w:rsidRPr="0006786C" w:rsidRDefault="0006786C" w:rsidP="0006786C">
      <w:pPr>
        <w:pStyle w:val="a9"/>
        <w:numPr>
          <w:ilvl w:val="0"/>
          <w:numId w:val="4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Список Литературы………………………8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lastRenderedPageBreak/>
        <w:t>Рак средостения</w: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различные по морфологии злокачественные новообразования, расположенные в срединных отделах грудной полости. Прогрессирование рака медиастинального пространства сопровождается болями в груди, одышкой,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дисфонией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кашлем, дисфагией, развитием синдромов Горнера и верхней полой вены. Диагностировать рак средостения помогает рентгенография органов грудной клетки, компьютерное и магнитно-резонансное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томографическое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исследование,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медиастиноскопия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видеоторакоскопия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биопсией. Хирургическое лечение рака средостения может быть радикальным или паллиативным (с целью декомпрессии соседних органов). В большинстве случаев также используется лучевая терапия.</w:t>
      </w:r>
    </w:p>
    <w:p w:rsidR="0006786C" w:rsidRDefault="0006786C" w:rsidP="000678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etail"/>
      <w:bookmarkEnd w:id="1"/>
    </w:p>
    <w:p w:rsidR="0006786C" w:rsidRP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06786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Общие сведения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собирательное понятие «рак средостения» включены различные по происхождению объемные злокачественные образования, берущие начало в медиастинальном пространстве. Среди всех </w:t>
      </w:r>
      <w:hyperlink r:id="rId8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опухолей средостения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долю злокачественных новообразований различной гистологической структуры приходится 20-40%. Чаще всего рак средостения представлен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лимфомой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ретикулосаркомой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диффузной и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нодулярной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лимфосаркомой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болезнью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Ходжкина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реже встречаются злокачественная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ангиосаркома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нейробластома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дисгерминома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"https://www.krasotaimedicina.ru/diseases/traumatology/chondrosarcoma"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хондросаркома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остеобластокластома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Кроме этого, в средостении могут выявляться </w:t>
      </w:r>
      <w:hyperlink r:id="rId9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метастазы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первичного рака различной локализации, саркомы, </w:t>
      </w:r>
      <w:hyperlink r:id="rId10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меланомы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Злокачественные опухоли средостения обнаруживаются преимущественно у лиц молодого и среднего возраста (20-40 лет), с равной частотой у мужчин и женщин. Лечением рака средостения занимаются специалисты в области </w:t>
      </w:r>
      <w:hyperlink r:id="rId11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онкологии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"https://www.krasotaimedicina.ru/treatment/pulmonary-oncology/"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онкопульмонологии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h2_1"/>
      <w:bookmarkEnd w:id="2"/>
    </w:p>
    <w:p w:rsidR="0006786C" w:rsidRP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06786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Причины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Истинные причины развития первичного рака средостения остаются невыясненными. Специалисты-онкологи предполагают, что ведущая роль в этиологии злокачественных новообразований медиастинальной локализации принадлежит ионизирующему излучению, контакту с канцерогенными веществами в быту, сельском хозяйстве и на производстве, вирусным агентам (</w:t>
      </w:r>
      <w:hyperlink r:id="rId12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вирусу Эпштейна-</w:t>
        </w:r>
        <w:proofErr w:type="spellStart"/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Барр</w:t>
        </w:r>
        <w:proofErr w:type="spellEnd"/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ВИЧ-инфекции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Риск возникновения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"https://www.krasotaimedicina.ru/diseases/hematologic/non-Hodgkin-lymphoma"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неходжкинских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лимфом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средостения выше у лиц, получавших лучевую терапию по поводу других онкологических процессов, а также у больных аутоиммунными заболеваниями.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Некоторые опухоли изначально развиваются как злокачественные (например,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саркомы); другие первично возникают как доброкачественные, но под действием неблагоприятных факторов подвергаются </w:t>
      </w:r>
      <w:hyperlink r:id="rId14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малигнизации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(например,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тератомы и др.); третьи носят метастатический характер. Метастатический рак средостения может являться «отголоском» </w:t>
      </w:r>
      <w:hyperlink r:id="rId15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рака легкого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6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рака щитовидной железы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7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рака пищевода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hyperlink r:id="rId18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желудка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9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рака молочной железы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"https://www.krasotaimedicina.ru/diseases/zabolevanija_proctology/colorectal-cancer"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колоректального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рака</w: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нефробластомы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меланомы, геморрагической </w:t>
      </w:r>
      <w:hyperlink r:id="rId20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саркомы </w:t>
        </w:r>
        <w:proofErr w:type="spellStart"/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Капоши</w:t>
        </w:r>
        <w:proofErr w:type="spellEnd"/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 СПИДе. Метастазирование из первичных очагов происходит путем контактного распространения,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лимфогенным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гематогенным путем. Выявление метастатического рака средостения служит неблагоприятным прогностическим признаком.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bookmarkStart w:id="3" w:name="h2_4"/>
      <w:bookmarkEnd w:id="3"/>
      <w:r w:rsidRPr="0006786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Классификация типов рака средостения</w:t>
      </w:r>
    </w:p>
    <w:p w:rsidR="0006786C" w:rsidRP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 зависимости от своего происхождения рак средостения подразделяется на первичный (изначально развивается из органов средостения) и вторичный (метастатический рак других локализаций).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гистогенетической классификации, первичные злокачественные новообразования средостения делятся на опухоли, происходящие из собственных тканей средостения, тканей,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дистопированных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(смещенных) в грудную полость в процессе эмбриогенеза, и опухоли вилочковой железы: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Злокачественные опухоли, развивающиеся из собственных тканей средостения, включают:</w:t>
      </w:r>
    </w:p>
    <w:p w:rsidR="0006786C" w:rsidRPr="0006786C" w:rsidRDefault="0006786C" w:rsidP="0006786C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неврогенные опухоли (неврогенная саркома,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"https://www.krasotaimedicina.ru/diseases/oncologic/neuroblastoma"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нейробластома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6786C" w:rsidRPr="0006786C" w:rsidRDefault="0006786C" w:rsidP="0006786C">
      <w:pPr>
        <w:numPr>
          <w:ilvl w:val="0"/>
          <w:numId w:val="2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мезенхимальные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опухоли: из соединительной 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"https://www.krasotaimedicina.ru/diseases/oncologic/fibrosarcoma"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фибросаркома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жировой 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"https://www.krasotaimedicina.ru/diseases/oncologic/liposarcoma"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липосаркома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мышечной 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лейомиосаркома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лимфоретикулярной 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лимфосаркома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сосудистой 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ангиосаркома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ткани.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дисэмбриогенетических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новообразований средостения, берущих начало из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дистопированных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тканей, могут встречаться:</w:t>
      </w:r>
    </w:p>
    <w:p w:rsidR="0006786C" w:rsidRPr="0006786C" w:rsidRDefault="0006786C" w:rsidP="0006786C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опухоли из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тиреоидной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ткани (злокачественный внутригрудной зоб)</w:t>
      </w:r>
    </w:p>
    <w:p w:rsidR="0006786C" w:rsidRPr="0006786C" w:rsidRDefault="0006786C" w:rsidP="0006786C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опухоли из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мультипотентных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клеток (злокачественная тератома -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тератокарцинома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6786C" w:rsidRPr="0006786C" w:rsidRDefault="0006786C" w:rsidP="0006786C">
      <w:pPr>
        <w:numPr>
          <w:ilvl w:val="0"/>
          <w:numId w:val="3"/>
        </w:numPr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proofErr w:type="spellStart"/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хорионэпителиома</w:t>
        </w:r>
        <w:proofErr w:type="spellEnd"/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"https://www.krasotaimedicina.ru/diseases/oncologic/seminoma"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семинома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дисгерминома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др.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Злокачественные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"https://www.krasotaimedicina.ru/diseases/oncologic/thymoma"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тимомы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(рак вилочковой железы) склонны к инфильтративному росту, раннему и обширному метастазированию.</w:t>
      </w:r>
      <w:proofErr w:type="gramEnd"/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Рак средостения может быть классифицирован по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локализационному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признаку. Так, в верхнем средостении из злокачественных опухолей </w: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выявляются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медиастинальный зоб. В переднем средостении, кроме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тимом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лимфом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встречаются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мезенхимальные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опухоли, </w:t>
      </w:r>
      <w:hyperlink r:id="rId22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тератомы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Среднее средостение поражается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лимфомами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заднее средостение является излюбленным местом локализации злокачественных неврогенных опухолей.</w:t>
      </w:r>
    </w:p>
    <w:p w:rsid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h2_13"/>
      <w:bookmarkEnd w:id="4"/>
    </w:p>
    <w:p w:rsidR="0006786C" w:rsidRP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06786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Симптомы рака средостения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proofErr w:type="gram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рака средостения выделяют бессимптомный период и период явных клинических проявлений. Продолжительность бессимптомной стадии зависит от расположения опухоли, ее размеров, гистологического типа, темпа роста, взаимоотношений с другими структурами средостения. Симптоматика всех опухолей средостения довольно сходна, однако для злокачественных новообразований характерно быстрое прогрессирование симптомов. Клиническая картина любой медиастинальной опухоли складывается из общих проявлений, присущих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онкопатологии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признаков компрессии или прорастания органов средостения и специфических симптомов, характеризующих разные виды новообразований.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Самой частой жалобой пациентов, страдающих раком средостения, служит болевой синдром, вызванный сдавлением или прорастанием нервных стволов. Боли локализуются на стороне поражения, часто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иррадиируют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плечо, шею, область </w:t>
      </w:r>
      <w:hyperlink r:id="rId23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между лопатками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иногда имитируют </w:t>
      </w:r>
      <w:hyperlink r:id="rId24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стенокардию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сдавлении опухолевым конгломератом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верхнегрудных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нервных корешков возникает </w:t>
      </w:r>
      <w:hyperlink r:id="rId25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синдром Горнера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заинтересованности возвратного гортанного нерва появляется осиплость голоса, при компрессии трахеи и крупных бронхов – </w:t>
      </w:r>
      <w:hyperlink r:id="rId26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одышка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7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кашель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пищевода – затруднение глотания пищи.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сдавлении растущей опухолью крупных венозных стволов развивается типичный для рака средостения </w:t>
      </w:r>
      <w:hyperlink r:id="rId28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синдром верхней полой вены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характеризующийся одышкой, одутловатостью и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синюшностью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лица, тяжестью в голове, набуханием вен шеи. В ряде случаев при раке средостения выявляются увеличенные лимфоузлы над ключицей, прорастание опухолью грудной стенки, у детей – выбухание грудины. На поздних стадиях рака средостения возникает слабость, потливость, лихорадочное состояние, похудание. Иногда отмечаются отеки конечностей, </w:t>
      </w:r>
      <w:hyperlink r:id="rId29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артралгии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</w: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припухлость суставов, </w:t>
      </w:r>
      <w:hyperlink r:id="rId30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аритмии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"https://www.krasotaimedicina.ru/diseases/zabolevanija_gastroenterologia/hepatomegaly"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гепатомегалия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1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асцит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Специфическими симптомами </w:t>
      </w:r>
      <w:proofErr w:type="gram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злокачественных</w:t>
      </w:r>
      <w:proofErr w:type="gram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лимфом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служат ночная потливость и кожный зуд. При внутригрудном зобе возникают симптомы </w:t>
      </w:r>
      <w:hyperlink r:id="rId32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тиреотоксикоза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фибросарком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средостения типичны эпизоды </w: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спонтанной гипогликемии – падение уровня глюкозы в крови. У больных злокачественной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тимомой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нередко развивается синдром </w:t>
      </w:r>
      <w:hyperlink r:id="rId33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миастении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4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синдром </w:t>
        </w:r>
        <w:proofErr w:type="spellStart"/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Кушинга</w:t>
        </w:r>
        <w:proofErr w:type="spellEnd"/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гипогаммаглобулинемия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анемия.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bookmarkStart w:id="5" w:name="h2_18"/>
      <w:bookmarkEnd w:id="5"/>
      <w:r w:rsidRPr="0006786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Диагностика рака средостения</w:t>
      </w:r>
    </w:p>
    <w:p w:rsidR="0006786C" w:rsidRP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Больные с предполагаемым диагнозом «рак средостения» направляются на консультацию к </w:t>
      </w:r>
      <w:hyperlink r:id="rId35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торакальному хирургу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hyperlink r:id="rId36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онкологу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установления точного морфологического и топографо-анатомического диагноза решающую роль играют данные рентгенологических,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томографических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эндовидеохирургических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исследований, результаты биопсии.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Обязательный перечень рентгенологических исследований включает </w:t>
      </w:r>
      <w:hyperlink r:id="rId37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рентгенографию грудной клетки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8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рентгенографию пищевода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контрастированием, компьютерную томографию. В большинстве случаев проведенное обследование позволяет установить локализацию рака средостения и распространенность процесса, заинтересованность органов грудной полости (легких, диафрагмы, аорты, грудной стенки). Уточнить состояние мягких тканей в зоне новообразования, выявить метастазы опухоли в лимфоузлы и легкие помогает МРТ.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диагностике рака средостения широко применяются </w:t>
      </w:r>
      <w:hyperlink r:id="rId39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эндоскопические методы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hyperlink r:id="rId40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Бронхоскопия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позволяет исключить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бронхогенную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локализацию опухоли, прорастание новообразования в трахею и крупные бронхи. Кроме этого, в процессе исследования может быть проведена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"https://www.krasotaimedicina.ru/treatment/puncture-biopsy-pulmonology/lung"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трансбронхиальная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биопсия</w: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образования. В ряде случаев прибегают к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трансторакальной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биопсии под ультразвуковым или рентгенологическим контролем. При обнаружении </w:t>
      </w:r>
      <w:proofErr w:type="gram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увеличенных</w:t>
      </w:r>
      <w:proofErr w:type="gram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лимфоузлов в подключичной области показана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"https://www.krasotaimedicina.ru/treatment/puncture-biopsy-pulmonology/daniels"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прескаленная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биопсия</w: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подозрении на лимфоретикулярные опухоли выполняется </w:t>
      </w:r>
      <w:hyperlink r:id="rId41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стернальная пункция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изучением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миелограммы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Высокоинформативными диагностическими исследованиями служат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видеоторакоскопия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медиастиноскопия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позволяют удостовериться в топографии опухоли средостения, осуществить забор материала для морфологического исследования под контролем зрения. Для ревизии и биопсии средостения также может применяться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парастернальная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торакотомия и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"https://www.krasotaimedicina.ru/treatment/mediastinum-miscellaneous/mediastinotomy"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медиастинотомия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Рак средостения необходимо дифференцировать с </w:t>
      </w:r>
      <w:hyperlink r:id="rId42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аневризмой аорты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"https://www.krasotaimedicina.ru/diseases/zabolevanija_pulmonology/sarcoidosis"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саркоидозом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3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эхинококкозом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целомической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кистой перикарда, </w:t>
      </w:r>
      <w:proofErr w:type="spellStart"/>
      <w:proofErr w:type="gram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абдомино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-медиастинальной</w:t>
      </w:r>
      <w:proofErr w:type="gram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4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липомой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прочими доброкачественными опухолями средостения.</w:t>
      </w: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bookmarkStart w:id="6" w:name="h2_23"/>
      <w:bookmarkEnd w:id="6"/>
      <w:r w:rsidRPr="0006786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Лечение рака средостения</w:t>
      </w:r>
    </w:p>
    <w:p w:rsidR="0006786C" w:rsidRPr="0006786C" w:rsidRDefault="0006786C" w:rsidP="0006786C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Тактика лечения рака средостения зависит от типа злокачественной опухоли, ее локализации и распространенности. Одни злокачественные опухоли 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ретикулосаркома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чувствительны к лучевому лечению, другие 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лимфома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лимфог</w:t>
      </w:r>
      <w:proofErr w:type="gram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</w:t>
      </w:r>
      <w:proofErr w:type="gram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анулематоз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к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"https://www.krasotaimedicina.ru/treatment/chemotherapy/multicomponent"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полихимиотерапии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облучению, 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"https://www.krasotaimedicina.ru/treatment/chemotherapy/immunochemotherapy" </w:instrText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иммунохимиотерапии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метастатическом раке средостения осуществляется паллиативное облучение в комплексе с </w:t>
      </w:r>
      <w:hyperlink r:id="rId45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химиотерапией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или гормонотерапией. Наиболее эффективным подходом к лечению радиочувствительных соединительнотканных опухолей и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тератобластом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признана комбинированная терапия, где радикальному </w:t>
      </w:r>
      <w:hyperlink r:id="rId46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удалению опухоли средостения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предшествует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неоадъювантная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7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лучевая терапия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Радиорезистентные опухоли (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хонд</w:t>
      </w:r>
      <w:proofErr w:type="gram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</w:t>
      </w:r>
      <w:proofErr w:type="gram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осаpкомы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фибpосаpкомы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злокачественные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шванномы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лейомиосаpкомы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резектабельных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случаях сразу подлежат удалению.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Резекция опухолей средостения нередко сопряжена с техническими трудностями, которые обусловлены вмешательством в зоне нахождения жизненно-важных органов, крупных нервных стволов и магистральных сосудов. Под </w:t>
      </w:r>
      <w:hyperlink r:id="rId48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расширенным удалением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рака средостения подразумевается полное иссечение опухоли вместе с лимфоузлами окружающей клетчаткой, которая часто дополняется резекцией органов, в которые она прорастает (перикарда, легких, пищевода, нервов, сосудов и др.). При локализации новообразования в заднем средостении обычно осуществляется боковая или заднебоковая торакотомия; в переднем средостении - переднебоковая торакотомия или </w:t>
      </w:r>
      <w:proofErr w:type="spell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стернотомия</w:t>
      </w:r>
      <w:proofErr w:type="spell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786C" w:rsidRPr="0006786C" w:rsidRDefault="0006786C" w:rsidP="0006786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 </w:t>
      </w:r>
      <w:hyperlink r:id="rId49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радикального иссечения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рака средостения, может осуществляться </w:t>
      </w:r>
      <w:hyperlink r:id="rId50" w:history="1">
        <w:r w:rsidRPr="0006786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паллиативное удаление</w:t>
        </w:r>
      </w:hyperlink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образования с целью декомпрессии средостения. После полного или частичного удаления опухоли проводится химиотерапия или лучевое лечение с учетом наибольшей чувствительности медиастинального новообразования к тому или иному воздействию. Прогноз при раке средостения различается в зависимости от вида опухоли, но в целом неблагоприятный. По показателю выживаемости комбинированное лечение с до- и послеоперационной лучевой терапией имеет преимущества перед </w:t>
      </w:r>
      <w:proofErr w:type="gramStart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хирургическим</w:t>
      </w:r>
      <w:proofErr w:type="gramEnd"/>
      <w:r w:rsidRPr="00067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786C" w:rsidRPr="0006786C" w:rsidTr="0006786C">
        <w:trPr>
          <w:trHeight w:val="3963"/>
          <w:tblCellSpacing w:w="0" w:type="dxa"/>
        </w:trPr>
        <w:tc>
          <w:tcPr>
            <w:tcW w:w="1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86C" w:rsidRDefault="0006786C" w:rsidP="000678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lastRenderedPageBreak/>
              <w:t>Литература</w:t>
            </w:r>
          </w:p>
          <w:p w:rsidR="0006786C" w:rsidRPr="0006786C" w:rsidRDefault="0006786C" w:rsidP="000678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</w:p>
          <w:p w:rsidR="0006786C" w:rsidRPr="0006786C" w:rsidRDefault="0006786C" w:rsidP="0006786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1. Клинические рекомендации по диагностике и лечению больных опухолями средостения и вилочковой желез/ Борисова Т.Н., </w:t>
            </w:r>
            <w:proofErr w:type="spellStart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Бредер</w:t>
            </w:r>
            <w:proofErr w:type="spellEnd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В.В., Горбунова В.А. и др. – 2014.</w:t>
            </w:r>
          </w:p>
          <w:p w:rsidR="0006786C" w:rsidRPr="0006786C" w:rsidRDefault="0006786C" w:rsidP="0006786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2. Онкология: учебник для вузов/ </w:t>
            </w:r>
            <w:proofErr w:type="spellStart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Вельшер</w:t>
            </w:r>
            <w:proofErr w:type="spellEnd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Л.З., </w:t>
            </w:r>
            <w:proofErr w:type="spellStart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Матякин</w:t>
            </w:r>
            <w:proofErr w:type="spellEnd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Е.Г., </w:t>
            </w:r>
            <w:proofErr w:type="spellStart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Дудицкая</w:t>
            </w:r>
            <w:proofErr w:type="spellEnd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Т.К., Поляков Б.И. - 2009.</w:t>
            </w:r>
          </w:p>
          <w:p w:rsidR="0006786C" w:rsidRPr="0006786C" w:rsidRDefault="0006786C" w:rsidP="0006786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3. Новообразования средостения: принципы дифференциальной диагностики и хирургического лечения: Автореферат диссертации/ Пищик В.Г. – 2008.</w:t>
            </w:r>
          </w:p>
          <w:p w:rsidR="0006786C" w:rsidRPr="0006786C" w:rsidRDefault="0006786C" w:rsidP="0006786C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4. Современные подходы к лечению больных с опухолями средостения/ </w:t>
            </w:r>
            <w:proofErr w:type="spellStart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Лазутин</w:t>
            </w:r>
            <w:proofErr w:type="spellEnd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Ю.Н., Карташов С.З., </w:t>
            </w:r>
            <w:proofErr w:type="spellStart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Зинькович</w:t>
            </w:r>
            <w:proofErr w:type="spellEnd"/>
            <w:r w:rsidRPr="0006786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С.А., Кабанов С.Н., Лейман И.А.// Известия Самарского научного центра Российской академии наук – 2009 - Т. 11, №5(2).</w:t>
            </w:r>
          </w:p>
        </w:tc>
      </w:tr>
    </w:tbl>
    <w:p w:rsidR="00972813" w:rsidRPr="0006786C" w:rsidRDefault="009728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2813" w:rsidRPr="0006786C" w:rsidSect="0006786C">
      <w:footerReference w:type="default" r:id="rId5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AB" w:rsidRDefault="00D560AB" w:rsidP="0006786C">
      <w:pPr>
        <w:spacing w:after="0" w:line="240" w:lineRule="auto"/>
      </w:pPr>
      <w:r>
        <w:separator/>
      </w:r>
    </w:p>
  </w:endnote>
  <w:endnote w:type="continuationSeparator" w:id="0">
    <w:p w:rsidR="00D560AB" w:rsidRDefault="00D560AB" w:rsidP="0006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666788"/>
      <w:docPartObj>
        <w:docPartGallery w:val="Page Numbers (Bottom of Page)"/>
        <w:docPartUnique/>
      </w:docPartObj>
    </w:sdtPr>
    <w:sdtContent>
      <w:p w:rsidR="0006786C" w:rsidRDefault="000678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6786C" w:rsidRDefault="000678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AB" w:rsidRDefault="00D560AB" w:rsidP="0006786C">
      <w:pPr>
        <w:spacing w:after="0" w:line="240" w:lineRule="auto"/>
      </w:pPr>
      <w:r>
        <w:separator/>
      </w:r>
    </w:p>
  </w:footnote>
  <w:footnote w:type="continuationSeparator" w:id="0">
    <w:p w:rsidR="00D560AB" w:rsidRDefault="00D560AB" w:rsidP="0006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BDF"/>
    <w:multiLevelType w:val="hybridMultilevel"/>
    <w:tmpl w:val="B0D2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C0980"/>
    <w:multiLevelType w:val="multilevel"/>
    <w:tmpl w:val="576C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16087"/>
    <w:multiLevelType w:val="multilevel"/>
    <w:tmpl w:val="BDD2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91035"/>
    <w:multiLevelType w:val="multilevel"/>
    <w:tmpl w:val="E50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BB"/>
    <w:rsid w:val="0006786C"/>
    <w:rsid w:val="003E14BB"/>
    <w:rsid w:val="00972813"/>
    <w:rsid w:val="00D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78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86C"/>
  </w:style>
  <w:style w:type="paragraph" w:styleId="a7">
    <w:name w:val="footer"/>
    <w:basedOn w:val="a"/>
    <w:link w:val="a8"/>
    <w:uiPriority w:val="99"/>
    <w:unhideWhenUsed/>
    <w:rsid w:val="0006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86C"/>
  </w:style>
  <w:style w:type="paragraph" w:styleId="a9">
    <w:name w:val="List Paragraph"/>
    <w:basedOn w:val="a"/>
    <w:uiPriority w:val="34"/>
    <w:qFormat/>
    <w:rsid w:val="00067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786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86C"/>
  </w:style>
  <w:style w:type="paragraph" w:styleId="a7">
    <w:name w:val="footer"/>
    <w:basedOn w:val="a"/>
    <w:link w:val="a8"/>
    <w:uiPriority w:val="99"/>
    <w:unhideWhenUsed/>
    <w:rsid w:val="0006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86C"/>
  </w:style>
  <w:style w:type="paragraph" w:styleId="a9">
    <w:name w:val="List Paragraph"/>
    <w:basedOn w:val="a"/>
    <w:uiPriority w:val="34"/>
    <w:qFormat/>
    <w:rsid w:val="0006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3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21220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infectious/HIV" TargetMode="External"/><Relationship Id="rId18" Type="http://schemas.openxmlformats.org/officeDocument/2006/relationships/hyperlink" Target="https://www.krasotaimedicina.ru/diseases/zabolevanija_gastroenterologia/stomach-cancer" TargetMode="External"/><Relationship Id="rId26" Type="http://schemas.openxmlformats.org/officeDocument/2006/relationships/hyperlink" Target="https://www.krasotaimedicina.ru/symptom/dyspnea" TargetMode="External"/><Relationship Id="rId39" Type="http://schemas.openxmlformats.org/officeDocument/2006/relationships/hyperlink" Target="https://www.krasotaimedicina.ru/diagnostics/endoscop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zabolevanija_gynaecology/chorionic-carcinoma" TargetMode="External"/><Relationship Id="rId34" Type="http://schemas.openxmlformats.org/officeDocument/2006/relationships/hyperlink" Target="https://www.krasotaimedicina.ru/diseases/zabolevanija_endocrinology/hypercorticoidism" TargetMode="External"/><Relationship Id="rId42" Type="http://schemas.openxmlformats.org/officeDocument/2006/relationships/hyperlink" Target="https://www.krasotaimedicina.ru/diseases/zabolevanija_cardiology/aortic-aneurysm" TargetMode="External"/><Relationship Id="rId47" Type="http://schemas.openxmlformats.org/officeDocument/2006/relationships/hyperlink" Target="https://www.krasotaimedicina.ru/treatment/radiation-therapy/" TargetMode="External"/><Relationship Id="rId50" Type="http://schemas.openxmlformats.org/officeDocument/2006/relationships/hyperlink" Target="https://www.krasotaimedicina.ru/treatment/mediastinal-tumor/decompress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diseases/infectious/monocytic-angina" TargetMode="External"/><Relationship Id="rId17" Type="http://schemas.openxmlformats.org/officeDocument/2006/relationships/hyperlink" Target="https://www.krasotaimedicina.ru/diseases/zabolevanija_gastroenterologia/esophageal-carcinoma" TargetMode="External"/><Relationship Id="rId25" Type="http://schemas.openxmlformats.org/officeDocument/2006/relationships/hyperlink" Target="https://www.krasotaimedicina.ru/diseases/ophthalmology/Horner" TargetMode="External"/><Relationship Id="rId33" Type="http://schemas.openxmlformats.org/officeDocument/2006/relationships/hyperlink" Target="https://www.krasotaimedicina.ru/diseases/zabolevanija_neurology/myasthenia-gravis" TargetMode="External"/><Relationship Id="rId38" Type="http://schemas.openxmlformats.org/officeDocument/2006/relationships/hyperlink" Target="https://www.krasotaimedicina.ru/treatment/X-ray-gastroenterology/esophagus" TargetMode="External"/><Relationship Id="rId46" Type="http://schemas.openxmlformats.org/officeDocument/2006/relationships/hyperlink" Target="https://www.krasotaimedicina.ru/treatment/mediastinal-tum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endocrinology/thyroid-cancer" TargetMode="External"/><Relationship Id="rId20" Type="http://schemas.openxmlformats.org/officeDocument/2006/relationships/hyperlink" Target="https://www.krasotaimedicina.ru/diseases/zabolevanija_dermatologia/kaposi-sarcoma" TargetMode="External"/><Relationship Id="rId29" Type="http://schemas.openxmlformats.org/officeDocument/2006/relationships/hyperlink" Target="https://www.krasotaimedicina.ru/symptom/joint-pain" TargetMode="External"/><Relationship Id="rId41" Type="http://schemas.openxmlformats.org/officeDocument/2006/relationships/hyperlink" Target="https://www.krasotaimedicina.ru/treatment/extraarticular-puncture/stern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treatment/oncology/" TargetMode="External"/><Relationship Id="rId24" Type="http://schemas.openxmlformats.org/officeDocument/2006/relationships/hyperlink" Target="https://www.krasotaimedicina.ru/diseases/zabolevanija_cardiology/stenocardia" TargetMode="External"/><Relationship Id="rId32" Type="http://schemas.openxmlformats.org/officeDocument/2006/relationships/hyperlink" Target="https://www.krasotaimedicina.ru/diseases/zabolevanija_endocrinology/hyperthyroidism" TargetMode="External"/><Relationship Id="rId37" Type="http://schemas.openxmlformats.org/officeDocument/2006/relationships/hyperlink" Target="https://www.krasotaimedicina.ru/diagnostics/chest-X-Ray/review" TargetMode="External"/><Relationship Id="rId40" Type="http://schemas.openxmlformats.org/officeDocument/2006/relationships/hyperlink" Target="https://www.krasotaimedicina.ru/treatment/endoscopic-pulmonology/bronchoscopy" TargetMode="External"/><Relationship Id="rId45" Type="http://schemas.openxmlformats.org/officeDocument/2006/relationships/hyperlink" Target="https://www.krasotaimedicina.ru/treatment/chemotherapy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pulmonology/lung-cancer" TargetMode="External"/><Relationship Id="rId23" Type="http://schemas.openxmlformats.org/officeDocument/2006/relationships/hyperlink" Target="https://www.krasotaimedicina.ru/symptom/back-pain/middle" TargetMode="External"/><Relationship Id="rId28" Type="http://schemas.openxmlformats.org/officeDocument/2006/relationships/hyperlink" Target="https://www.krasotaimedicina.ru/diseases/zabolevanija_pulmonology/superior-vena-cava-syndrome" TargetMode="External"/><Relationship Id="rId36" Type="http://schemas.openxmlformats.org/officeDocument/2006/relationships/hyperlink" Target="https://www.krasotaimedicina.ru/doctor/oncologist/" TargetMode="External"/><Relationship Id="rId49" Type="http://schemas.openxmlformats.org/officeDocument/2006/relationships/hyperlink" Target="https://www.krasotaimedicina.ru/treatment/mediastinal-tumor/radical-resection" TargetMode="External"/><Relationship Id="rId10" Type="http://schemas.openxmlformats.org/officeDocument/2006/relationships/hyperlink" Target="https://www.krasotaimedicina.ru/diseases/zabolevanija_dermatologia/melanoma" TargetMode="External"/><Relationship Id="rId19" Type="http://schemas.openxmlformats.org/officeDocument/2006/relationships/hyperlink" Target="https://www.krasotaimedicina.ru/diseases/zabolevanija_mammology/breast_cancer" TargetMode="External"/><Relationship Id="rId31" Type="http://schemas.openxmlformats.org/officeDocument/2006/relationships/hyperlink" Target="https://www.krasotaimedicina.ru/diseases/zabolevanija_gastroenterologia/ascites" TargetMode="External"/><Relationship Id="rId44" Type="http://schemas.openxmlformats.org/officeDocument/2006/relationships/hyperlink" Target="https://www.krasotaimedicina.ru/diseases/zabolevanija_dermatologia/lipom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oncologic/metastases" TargetMode="External"/><Relationship Id="rId14" Type="http://schemas.openxmlformats.org/officeDocument/2006/relationships/hyperlink" Target="https://www.krasotaimedicina.ru/diseases/oncologic/malignization" TargetMode="External"/><Relationship Id="rId22" Type="http://schemas.openxmlformats.org/officeDocument/2006/relationships/hyperlink" Target="https://www.krasotaimedicina.ru/diseases/oncologic/teratoma" TargetMode="External"/><Relationship Id="rId27" Type="http://schemas.openxmlformats.org/officeDocument/2006/relationships/hyperlink" Target="https://www.krasotaimedicina.ru/symptom/cough" TargetMode="External"/><Relationship Id="rId30" Type="http://schemas.openxmlformats.org/officeDocument/2006/relationships/hyperlink" Target="https://www.krasotaimedicina.ru/diseases/zabolevanija_cardiology/arrhythmia" TargetMode="External"/><Relationship Id="rId35" Type="http://schemas.openxmlformats.org/officeDocument/2006/relationships/hyperlink" Target="https://www.krasotaimedicina.ru/treatment/consultation-pulmonology/surgeon" TargetMode="External"/><Relationship Id="rId43" Type="http://schemas.openxmlformats.org/officeDocument/2006/relationships/hyperlink" Target="https://www.krasotaimedicina.ru/diseases/infectious/echinococcosis" TargetMode="External"/><Relationship Id="rId48" Type="http://schemas.openxmlformats.org/officeDocument/2006/relationships/hyperlink" Target="https://www.krasotaimedicina.ru/treatment/mediastinal-tumor/resection" TargetMode="External"/><Relationship Id="rId8" Type="http://schemas.openxmlformats.org/officeDocument/2006/relationships/hyperlink" Target="https://www.krasotaimedicina.ru/diseases/zabolevanija_pulmonology/mediastinal-tumor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2545</Words>
  <Characters>14508</Characters>
  <Application>Microsoft Office Word</Application>
  <DocSecurity>0</DocSecurity>
  <Lines>120</Lines>
  <Paragraphs>34</Paragraphs>
  <ScaleCrop>false</ScaleCrop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USER0720</dc:creator>
  <cp:keywords/>
  <dc:description/>
  <cp:lastModifiedBy>USER0720</cp:lastModifiedBy>
  <cp:revision>3</cp:revision>
  <dcterms:created xsi:type="dcterms:W3CDTF">2022-04-05T08:25:00Z</dcterms:created>
  <dcterms:modified xsi:type="dcterms:W3CDTF">2022-04-05T08:35:00Z</dcterms:modified>
</cp:coreProperties>
</file>