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321"/>
        <w:ind w:left="2317" w:hanging="0"/>
        <w:rPr/>
      </w:pPr>
      <w:r>
        <w:rPr/>
      </w:r>
    </w:p>
    <w:p>
      <w:pPr>
        <w:pStyle w:val="Heading1"/>
        <w:spacing w:lineRule="auto" w:line="321"/>
        <w:ind w:hanging="0"/>
        <w:rPr/>
      </w:pPr>
      <w:r>
        <w:rPr/>
        <w:t xml:space="preserve">                                                  </w:t>
      </w:r>
      <w:r>
        <w:rPr/>
        <w:t xml:space="preserve">альрахаби исам абдулла </w:t>
      </w:r>
    </w:p>
    <w:p>
      <w:pPr>
        <w:pStyle w:val="Normal1"/>
        <w:spacing w:lineRule="auto" w:line="321"/>
        <w:ind w:hanging="0"/>
        <w:rPr/>
      </w:pPr>
      <w:r>
        <w:rPr/>
        <w:t xml:space="preserve">                                                                                           </w:t>
      </w:r>
      <w:r>
        <w:rPr/>
        <w:t>гр 38</w:t>
      </w:r>
    </w:p>
    <w:p>
      <w:pPr>
        <w:pStyle w:val="Heading1"/>
        <w:spacing w:lineRule="auto" w:line="321"/>
        <w:ind w:left="2317" w:hanging="0"/>
        <w:rPr/>
      </w:pPr>
      <w:r>
        <w:rPr/>
      </w:r>
    </w:p>
    <w:p>
      <w:pPr>
        <w:pStyle w:val="Heading1"/>
        <w:spacing w:lineRule="auto" w:line="321"/>
        <w:ind w:left="2317" w:hanging="0"/>
        <w:rPr/>
      </w:pPr>
      <w:r>
        <w:rPr/>
      </w:r>
    </w:p>
    <w:p>
      <w:pPr>
        <w:pStyle w:val="Heading1"/>
        <w:spacing w:lineRule="auto" w:line="321"/>
        <w:ind w:left="2317" w:hanging="0"/>
        <w:rPr/>
      </w:pPr>
      <w:r>
        <w:rPr/>
      </w:r>
    </w:p>
    <w:p>
      <w:pPr>
        <w:pStyle w:val="Heading1"/>
        <w:spacing w:lineRule="auto" w:line="321"/>
        <w:ind w:left="2317" w:hanging="0"/>
        <w:rPr/>
      </w:pPr>
      <w:r>
        <w:rPr/>
      </w:r>
    </w:p>
    <w:p>
      <w:pPr>
        <w:pStyle w:val="Heading1"/>
        <w:spacing w:lineRule="auto" w:line="321"/>
        <w:ind w:hanging="0"/>
        <w:rPr/>
      </w:pPr>
      <w:r>
        <w:rPr/>
        <w:t xml:space="preserve">                                     </w:t>
      </w:r>
      <w:r>
        <w:rPr/>
        <w:t>Задания тестового контроля:</w:t>
      </w:r>
    </w:p>
    <w:p>
      <w:pPr>
        <w:pStyle w:val="Normal1"/>
        <w:numPr>
          <w:ilvl w:val="0"/>
          <w:numId w:val="2"/>
        </w:numPr>
        <w:pBdr/>
        <w:tabs>
          <w:tab w:val="clear" w:pos="720"/>
          <w:tab w:val="left" w:pos="543" w:leader="none"/>
        </w:tabs>
        <w:spacing w:lineRule="auto" w:line="319"/>
        <w:ind w:left="542" w:hanging="281"/>
        <w:rPr>
          <w:color w:val="000000"/>
        </w:rPr>
      </w:pPr>
      <w:r>
        <w:rPr>
          <w:b/>
          <w:color w:val="000000"/>
          <w:sz w:val="28"/>
          <w:szCs w:val="28"/>
        </w:rPr>
        <w:t>Уровень альбумина в крови бывает пониженным:</w:t>
      </w:r>
    </w:p>
    <w:p>
      <w:pPr>
        <w:pStyle w:val="Normal1"/>
        <w:pBdr/>
        <w:tabs>
          <w:tab w:val="clear" w:pos="720"/>
          <w:tab w:val="left" w:pos="543" w:leader="none"/>
        </w:tabs>
        <w:spacing w:lineRule="auto" w:line="319"/>
        <w:ind w:left="542" w:hanging="0"/>
        <w:rPr>
          <w:b/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</w:r>
    </w:p>
    <w:p>
      <w:pPr>
        <w:pStyle w:val="Normal1"/>
        <w:pBdr/>
        <w:spacing w:lineRule="auto" w:line="319"/>
        <w:ind w:left="970" w:hanging="0"/>
        <w:rPr>
          <w:color w:val="FF0000"/>
          <w:sz w:val="28"/>
          <w:szCs w:val="28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  <w:t>б) при хронических заболеваниях печени</w:t>
      </w:r>
    </w:p>
    <w:p>
      <w:pPr>
        <w:pStyle w:val="Normal1"/>
        <w:pBdr/>
        <w:spacing w:lineRule="auto" w:line="240" w:before="4" w:after="0"/>
        <w:rPr>
          <w:color w:val="6583FB"/>
          <w:sz w:val="28"/>
          <w:szCs w:val="28"/>
        </w:rPr>
      </w:pPr>
      <w:r>
        <w:rPr>
          <w:color w:val="6583FB"/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43" w:leader="none"/>
        </w:tabs>
        <w:spacing w:lineRule="auto" w:line="319"/>
        <w:ind w:left="542" w:hanging="281"/>
        <w:rPr/>
      </w:pPr>
      <w:r>
        <w:rPr/>
        <w:t>Наибольшая активность АЛТ в гепатоцитах выявляется в:</w:t>
      </w:r>
    </w:p>
    <w:p>
      <w:pPr>
        <w:pStyle w:val="Normal1"/>
        <w:pBdr/>
        <w:ind w:left="970" w:right="6892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1"/>
        <w:ind w:left="970" w:right="6420" w:hanging="0"/>
        <w:rPr>
          <w:b/>
          <w:b/>
          <w:bCs/>
          <w:i/>
          <w:i/>
          <w:iCs/>
          <w:color w:val="6583FB"/>
          <w:u w:val="single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  <w:t>г) цитозоле</w:t>
      </w:r>
    </w:p>
    <w:p>
      <w:pPr>
        <w:pStyle w:val="Normal1"/>
        <w:ind w:left="970" w:right="642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1"/>
        <w:ind w:left="970" w:right="642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43" w:leader="none"/>
        </w:tabs>
        <w:spacing w:lineRule="auto" w:line="240"/>
        <w:ind w:left="262" w:right="627" w:hanging="0"/>
        <w:rPr/>
      </w:pPr>
      <w:r>
        <w:rPr/>
        <w:t>При поражении гепатоцитов наибольший относительный прирост в сыворотке имеет:</w:t>
      </w:r>
    </w:p>
    <w:p>
      <w:pPr>
        <w:pStyle w:val="Normal1"/>
        <w:pBdr/>
        <w:ind w:left="970" w:right="783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pBdr/>
        <w:ind w:left="970" w:right="7830" w:hanging="0"/>
        <w:jc w:val="both"/>
        <w:rPr>
          <w:color w:val="FF0000"/>
          <w:sz w:val="28"/>
          <w:szCs w:val="28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  <w:t>ЛДГ-5</w:t>
      </w:r>
    </w:p>
    <w:p>
      <w:pPr>
        <w:pStyle w:val="Normal1"/>
        <w:pBdr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Normal1"/>
        <w:pBdr/>
        <w:spacing w:lineRule="auto" w:line="240" w:before="7"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43" w:leader="none"/>
        </w:tabs>
        <w:ind w:left="542" w:hanging="281"/>
        <w:rPr/>
      </w:pPr>
      <w:r>
        <w:rPr/>
        <w:t>Увеличение щелочной фосфатазы в сыворотке характерно при:</w:t>
      </w:r>
    </w:p>
    <w:p>
      <w:pPr>
        <w:pStyle w:val="Normal1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pBdr/>
        <w:rPr>
          <w:color w:val="FF0000"/>
          <w:sz w:val="28"/>
          <w:szCs w:val="28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  <w:t>г) ядерной желтухе новорожденных</w:t>
      </w:r>
    </w:p>
    <w:p>
      <w:pPr>
        <w:pStyle w:val="Normal1"/>
        <w:pBdr/>
        <w:rPr>
          <w:b/>
          <w:b/>
          <w:bCs/>
          <w:i/>
          <w:i/>
          <w:iCs/>
          <w:color w:val="6583FB"/>
          <w:sz w:val="28"/>
          <w:szCs w:val="28"/>
          <w:u w:val="single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</w:r>
    </w:p>
    <w:p>
      <w:pPr>
        <w:pStyle w:val="Normal1"/>
        <w:pBdr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43" w:leader="none"/>
        </w:tabs>
        <w:spacing w:lineRule="auto" w:line="240"/>
        <w:ind w:left="262" w:right="392" w:hanging="0"/>
        <w:jc w:val="both"/>
        <w:rPr/>
      </w:pPr>
      <w:r>
        <w:rPr/>
        <w:t>У больного с желтухой повышение сывороточной активности ГГТП &gt; АЛТ &gt; АСТ &gt;&gt; ЩФ наиболее характерно для:</w:t>
      </w:r>
    </w:p>
    <w:p>
      <w:pPr>
        <w:pStyle w:val="Normal1"/>
        <w:tabs>
          <w:tab w:val="clear" w:pos="720"/>
          <w:tab w:val="left" w:pos="543" w:leader="none"/>
        </w:tabs>
        <w:rPr/>
      </w:pPr>
      <w:r>
        <w:rPr/>
      </w:r>
    </w:p>
    <w:p>
      <w:pPr>
        <w:pStyle w:val="Normal1"/>
        <w:tabs>
          <w:tab w:val="clear" w:pos="720"/>
          <w:tab w:val="left" w:pos="543" w:leader="none"/>
        </w:tabs>
        <w:rPr>
          <w:b/>
          <w:b/>
          <w:bCs/>
          <w:i/>
          <w:i/>
          <w:iCs/>
          <w:color w:val="6583FB"/>
          <w:sz w:val="28"/>
          <w:szCs w:val="28"/>
          <w:u w:val="single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  <w:t>в) алкогольного поражения печени</w:t>
      </w:r>
    </w:p>
    <w:p>
      <w:pPr>
        <w:pStyle w:val="Normal1"/>
        <w:tabs>
          <w:tab w:val="clear" w:pos="720"/>
          <w:tab w:val="left" w:pos="543" w:leader="none"/>
        </w:tabs>
        <w:rPr>
          <w:color w:val="FF0000"/>
        </w:rPr>
      </w:pPr>
      <w:r>
        <w:rPr>
          <w:color w:val="FF0000"/>
        </w:rPr>
      </w:r>
    </w:p>
    <w:p>
      <w:pPr>
        <w:pStyle w:val="Heading1"/>
        <w:tabs>
          <w:tab w:val="clear" w:pos="720"/>
          <w:tab w:val="left" w:pos="543" w:leader="none"/>
        </w:tabs>
        <w:spacing w:lineRule="auto" w:line="240"/>
        <w:ind w:left="0" w:right="392" w:hanging="0"/>
        <w:jc w:val="both"/>
        <w:rPr/>
      </w:pPr>
      <w:r>
        <w:rPr/>
      </w:r>
    </w:p>
    <w:p>
      <w:pPr>
        <w:pStyle w:val="Normal1"/>
        <w:pBdr/>
        <w:spacing w:lineRule="auto" w:line="240" w:before="11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Heading1"/>
        <w:spacing w:lineRule="auto" w:line="321"/>
        <w:ind w:left="661" w:right="667" w:hanging="0"/>
        <w:jc w:val="center"/>
        <w:rPr/>
      </w:pPr>
      <w:r>
        <w:rPr/>
        <w:t>Профессиональные задачи.</w:t>
      </w:r>
    </w:p>
    <w:p>
      <w:pPr>
        <w:pStyle w:val="Normal1"/>
        <w:spacing w:lineRule="auto" w:line="319"/>
        <w:ind w:left="661" w:right="6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Задача № 1.</w:t>
      </w:r>
    </w:p>
    <w:p>
      <w:pPr>
        <w:pStyle w:val="Normal1"/>
        <w:pBdr/>
        <w:ind w:left="262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роддоме новорождённый ребёнок имеет желтушное окрашивание кожи и слизистых. Состояние ребёнка тяжёлое.</w:t>
      </w:r>
    </w:p>
    <w:p>
      <w:pPr>
        <w:pStyle w:val="Normal1"/>
        <w:pBdr/>
        <w:spacing w:lineRule="auto" w:line="319"/>
        <w:ind w:left="262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показатели:</w:t>
      </w:r>
    </w:p>
    <w:p>
      <w:pPr>
        <w:pStyle w:val="Normal1"/>
        <w:pBdr/>
        <w:spacing w:lineRule="auto" w:line="321"/>
        <w:ind w:left="97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Нв = 80г/л</w:t>
      </w:r>
    </w:p>
    <w:p>
      <w:pPr>
        <w:pStyle w:val="Normal1"/>
        <w:pBdr/>
        <w:ind w:left="970" w:right="469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билирубин общий 250 мкмоль/л непрямой билирубин 150 мкмоль/л АЛТ = 0,2 ммоль/ч/л</w:t>
      </w:r>
    </w:p>
    <w:p>
      <w:pPr>
        <w:pStyle w:val="Normal1"/>
        <w:pBdr/>
        <w:ind w:left="97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 = 4,5 ммоль/ч/л</w:t>
      </w:r>
    </w:p>
    <w:p>
      <w:pPr>
        <w:pStyle w:val="Normal1"/>
        <w:pBdr/>
        <w:spacing w:lineRule="auto" w:line="321"/>
        <w:ind w:left="442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Задания: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543" w:leader="none"/>
        </w:tabs>
        <w:spacing w:lineRule="auto" w:line="321"/>
        <w:ind w:left="542" w:hanging="281"/>
        <w:rPr>
          <w:color w:val="000000"/>
        </w:rPr>
      </w:pPr>
      <w:r>
        <w:rPr>
          <w:color w:val="000000"/>
          <w:sz w:val="28"/>
          <w:szCs w:val="28"/>
        </w:rPr>
        <w:t>О каком типе желтухи можно думать?</w:t>
      </w:r>
    </w:p>
    <w:p>
      <w:pPr>
        <w:pStyle w:val="Normal1"/>
        <w:pBdr/>
        <w:tabs>
          <w:tab w:val="clear" w:pos="720"/>
          <w:tab w:val="left" w:pos="543" w:leader="none"/>
        </w:tabs>
        <w:spacing w:lineRule="auto" w:line="321"/>
        <w:ind w:left="542" w:hanging="0"/>
        <w:rPr>
          <w:color w:val="FF0000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  <w:t>Обструктивная желтуха</w:t>
      </w:r>
    </w:p>
    <w:p>
      <w:pPr>
        <w:pStyle w:val="Normal1"/>
        <w:pBdr/>
        <w:tabs>
          <w:tab w:val="clear" w:pos="720"/>
          <w:tab w:val="left" w:pos="543" w:leader="none"/>
        </w:tabs>
        <w:spacing w:lineRule="auto" w:line="321"/>
        <w:ind w:left="542" w:hanging="0"/>
        <w:rPr>
          <w:color w:val="FF0000"/>
        </w:rPr>
      </w:pPr>
      <w:r>
        <w:rPr>
          <w:color w:val="FF0000"/>
        </w:rPr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543" w:leader="none"/>
        </w:tabs>
        <w:ind w:left="542" w:hanging="281"/>
        <w:rPr>
          <w:color w:val="000000"/>
        </w:rPr>
      </w:pPr>
      <w:r>
        <w:rPr>
          <w:color w:val="000000"/>
          <w:sz w:val="28"/>
          <w:szCs w:val="28"/>
        </w:rPr>
        <w:t>Какие причины могут вызвать эту желтуху?</w:t>
      </w:r>
    </w:p>
    <w:p>
      <w:pPr>
        <w:pStyle w:val="Normal1"/>
        <w:pBdr/>
        <w:tabs>
          <w:tab w:val="clear" w:pos="720"/>
          <w:tab w:val="left" w:pos="543" w:leader="none"/>
        </w:tabs>
        <w:ind w:left="542" w:hanging="0"/>
        <w:rPr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</w:r>
    </w:p>
    <w:p>
      <w:pPr>
        <w:pStyle w:val="Normal1"/>
        <w:tabs>
          <w:tab w:val="clear" w:pos="720"/>
          <w:tab w:val="left" w:pos="543" w:leader="none"/>
        </w:tabs>
        <w:ind w:left="542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1"/>
        <w:pBdr/>
        <w:tabs>
          <w:tab w:val="clear" w:pos="720"/>
          <w:tab w:val="left" w:pos="543" w:leader="none"/>
        </w:tabs>
        <w:ind w:left="542" w:hanging="0"/>
        <w:rPr>
          <w:color w:val="FF0000"/>
          <w:sz w:val="28"/>
          <w:szCs w:val="28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  <w:t>Этот тип вызван несоответствием между группой крови ребенка и группой крови матери, что приводит к разрушению эритроцитов ребенка из-за диссонанса с клетками крови матери , а уровень билирубина повышается из-за неспособности печени перерабатывать избыточное количество</w:t>
      </w:r>
    </w:p>
    <w:p>
      <w:pPr>
        <w:pStyle w:val="Normal1"/>
        <w:pBdr/>
        <w:tabs>
          <w:tab w:val="clear" w:pos="720"/>
          <w:tab w:val="left" w:pos="543" w:leader="none"/>
        </w:tabs>
        <w:ind w:left="542" w:hanging="0"/>
        <w:rPr>
          <w:b/>
          <w:b/>
          <w:bCs/>
          <w:i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543" w:leader="none"/>
        </w:tabs>
        <w:ind w:left="5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pBdr/>
        <w:tabs>
          <w:tab w:val="clear" w:pos="720"/>
          <w:tab w:val="left" w:pos="543" w:leader="none"/>
        </w:tabs>
        <w:ind w:left="542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543" w:leader="none"/>
        </w:tabs>
        <w:spacing w:lineRule="auto" w:line="240" w:before="0" w:after="0"/>
        <w:ind w:left="542" w:hanging="281"/>
        <w:rPr>
          <w:color w:val="000000"/>
        </w:rPr>
      </w:pPr>
      <w:r>
        <w:rPr>
          <w:color w:val="000000"/>
          <w:sz w:val="28"/>
          <w:szCs w:val="28"/>
        </w:rPr>
        <w:t>Какие фракции билирубина вы знаете, на чём основано это разделение?</w:t>
      </w:r>
    </w:p>
    <w:p>
      <w:pPr>
        <w:pStyle w:val="Normal1"/>
        <w:numPr>
          <w:ilvl w:val="0"/>
          <w:numId w:val="3"/>
        </w:numPr>
        <w:pBdr/>
        <w:spacing w:lineRule="auto" w:line="240" w:before="0" w:after="0"/>
        <w:ind w:left="720" w:hanging="360"/>
        <w:jc w:val="both"/>
        <w:rPr>
          <w:b/>
          <w:b/>
          <w:bCs/>
          <w:i/>
          <w:i/>
          <w:iCs/>
          <w:color w:val="6583FB"/>
          <w:u w:val="single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6583FB"/>
          <w:sz w:val="28"/>
          <w:szCs w:val="28"/>
          <w:u w:val="single"/>
        </w:rPr>
        <w:t>образуется в норме как результат расщепления белков, содержащих гем: гемоглобина, миоглобина и цитохрома. Скрыть</w:t>
      </w:r>
    </w:p>
    <w:p>
      <w:pPr>
        <w:pStyle w:val="Normal1"/>
        <w:numPr>
          <w:ilvl w:val="0"/>
          <w:numId w:val="3"/>
        </w:numPr>
        <w:pBdr/>
        <w:spacing w:lineRule="auto" w:line="240" w:before="0" w:after="0"/>
        <w:ind w:left="720" w:hanging="360"/>
        <w:jc w:val="both"/>
        <w:rPr>
          <w:b/>
          <w:b/>
          <w:bCs/>
          <w:i/>
          <w:i/>
          <w:iCs/>
          <w:color w:val="6583FB"/>
          <w:u w:val="single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  <w:t>Хим. формула</w:t>
      </w:r>
    </w:p>
    <w:p>
      <w:pPr>
        <w:pStyle w:val="Heading1"/>
        <w:ind w:left="4189" w:hanging="0"/>
        <w:jc w:val="both"/>
        <w:rPr/>
      </w:pPr>
      <w:r>
        <w:rPr/>
        <w:t>Задача № 2.</w:t>
      </w:r>
    </w:p>
    <w:p>
      <w:pPr>
        <w:pStyle w:val="Normal1"/>
        <w:pBdr/>
        <w:ind w:left="262" w:right="271" w:hanging="0"/>
        <w:jc w:val="both"/>
        <w:rPr/>
      </w:pPr>
      <w:r>
        <w:rPr>
          <w:color w:val="000000"/>
          <w:sz w:val="28"/>
          <w:szCs w:val="28"/>
        </w:rPr>
        <w:t>Паци</w:t>
      </w:r>
      <w:r>
        <w:rPr>
          <w:color w:val="000000"/>
          <w:sz w:val="28"/>
          <w:szCs w:val="28"/>
        </w:rPr>
        <w:t>Билирубин</w:t>
      </w:r>
      <w:r>
        <w:rPr>
          <w:color w:val="000000"/>
          <w:sz w:val="28"/>
          <w:szCs w:val="28"/>
        </w:rPr>
        <w:t>ентка Л. находится на обследовании в хирургическом отделении. Жалобы на желтушность кожных покровов, сильные боли в правом подреберье.</w:t>
      </w:r>
    </w:p>
    <w:p>
      <w:pPr>
        <w:pStyle w:val="Normal1"/>
        <w:pBdr/>
        <w:ind w:left="970" w:right="1835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лаборатории получены следующие результаты исследований: общий билирубин- 48мкмоль/л</w:t>
      </w:r>
    </w:p>
    <w:p>
      <w:pPr>
        <w:pStyle w:val="Normal1"/>
        <w:pBdr/>
        <w:ind w:left="970" w:right="5986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прямой- 30,0 мкмоль/л непрямой-12,0 мкмоль/л Тимоловая проба -1 ед. АЛТ- 0,2 ммоль/л</w:t>
      </w:r>
    </w:p>
    <w:p>
      <w:pPr>
        <w:pStyle w:val="Normal1"/>
        <w:pBdr/>
        <w:ind w:left="970" w:right="6777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АСТ- 0,1 ммоль/л НВ – 130 г/л</w:t>
      </w:r>
    </w:p>
    <w:p>
      <w:pPr>
        <w:pStyle w:val="Normal1"/>
        <w:pBdr/>
        <w:spacing w:lineRule="auto" w:line="240"/>
        <w:ind w:left="1380" w:right="4839" w:hanging="11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ан. мочи</w:t>
      </w:r>
      <w:r>
        <w:rPr>
          <w:color w:val="000000"/>
          <w:sz w:val="28"/>
          <w:szCs w:val="28"/>
        </w:rPr>
        <w:t>: уробилиноген-отсутствует прямой билирубин-обнаружен</w:t>
      </w:r>
    </w:p>
    <w:p>
      <w:pPr>
        <w:pStyle w:val="Normal1"/>
        <w:pBdr/>
        <w:spacing w:lineRule="auto" w:line="316"/>
        <w:ind w:left="262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ан. кала</w:t>
      </w:r>
      <w:r>
        <w:rPr>
          <w:color w:val="000000"/>
          <w:sz w:val="28"/>
          <w:szCs w:val="28"/>
        </w:rPr>
        <w:t>: кал обсцвечен, стеркобилин не обнаружен</w:t>
      </w:r>
    </w:p>
    <w:p>
      <w:pPr>
        <w:pStyle w:val="Normal1"/>
        <w:pBdr/>
        <w:spacing w:lineRule="auto" w:line="321"/>
        <w:ind w:left="442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Задания: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1.Назовите белок крови, из которого идет образование билирубина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</w:r>
    </w:p>
    <w:p>
      <w:pPr>
        <w:pStyle w:val="Normal1"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right="271" w:hanging="0"/>
        <w:jc w:val="both"/>
        <w:rPr>
          <w:b/>
          <w:b/>
          <w:i/>
          <w:i/>
          <w:color w:val="FF0000"/>
          <w:sz w:val="28"/>
          <w:szCs w:val="28"/>
          <w:u w:val="single"/>
        </w:rPr>
      </w:pPr>
      <w:r>
        <w:rPr>
          <w:b/>
          <w:i/>
          <w:color w:val="6583FB"/>
          <w:sz w:val="28"/>
          <w:szCs w:val="28"/>
          <w:u w:val="single"/>
        </w:rPr>
        <w:t>гемоглобина, миоглобина  цитохрома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jc w:val="right"/>
        <w:rPr>
          <w:color w:val="FF0000"/>
          <w:sz w:val="28"/>
          <w:szCs w:val="28"/>
          <w:highlight w:val="green"/>
        </w:rPr>
      </w:pPr>
      <w:r>
        <w:rPr>
          <w:color w:val="FF0000"/>
          <w:sz w:val="28"/>
          <w:szCs w:val="28"/>
          <w:highlight w:val="green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FF0000"/>
          <w:sz w:val="28"/>
          <w:szCs w:val="28"/>
          <w:highlight w:val="green"/>
        </w:rPr>
      </w:pPr>
      <w:r>
        <w:rPr>
          <w:color w:val="FF0000"/>
          <w:sz w:val="28"/>
          <w:szCs w:val="28"/>
          <w:highlight w:val="green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2.Назовите</w:t>
        <w:tab/>
        <w:t>медицинский</w:t>
        <w:tab/>
        <w:t>термин,</w:t>
        <w:tab/>
        <w:t>обозначающий</w:t>
        <w:tab/>
        <w:t>понятие</w:t>
        <w:tab/>
        <w:t>«повышение билирубина в сыворотке крови».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FF0000"/>
          <w:sz w:val="28"/>
          <w:szCs w:val="28"/>
        </w:rPr>
      </w:pPr>
      <w:r>
        <w:rPr>
          <w:b/>
          <w:bCs/>
          <w:i/>
          <w:iCs/>
          <w:color w:val="6583FB"/>
          <w:sz w:val="28"/>
          <w:szCs w:val="28"/>
          <w:u w:val="single"/>
        </w:rPr>
        <w:t>Повышение билирубина в сыворотке крови называется гипербилирубинемией, желтушная окраска кожи и слизистых (желтуха) появляется когда концентрация билирубина в крови превышает 30-35</w:t>
      </w: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6583FB"/>
          <w:sz w:val="28"/>
          <w:szCs w:val="28"/>
          <w:u w:val="single"/>
        </w:rPr>
        <w:t>мкмоль/л.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sz w:val="28"/>
          <w:szCs w:val="28"/>
        </w:rPr>
      </w:pPr>
      <w:r>
        <w:rPr>
          <w:sz w:val="28"/>
          <w:szCs w:val="28"/>
        </w:rPr>
        <w:t>3.Перечислите причины, приводящие к повышению уровня билирубина в сыворотке крови.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  <w:t>1..Хронический или аутоимунный гепатит.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color w:val="6583FB"/>
          <w:sz w:val="28"/>
          <w:szCs w:val="28"/>
          <w:u w:val="single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color w:val="6583FB"/>
          <w:sz w:val="28"/>
          <w:szCs w:val="28"/>
          <w:u w:val="single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FF0000"/>
          <w:sz w:val="28"/>
          <w:szCs w:val="28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  <w:t>2..Не доброкачественные новообразования в районе печени.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color w:val="6583FB"/>
          <w:sz w:val="28"/>
          <w:szCs w:val="28"/>
          <w:u w:val="single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color w:val="6583FB"/>
          <w:sz w:val="28"/>
          <w:szCs w:val="28"/>
          <w:u w:val="single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FF0000"/>
          <w:sz w:val="28"/>
          <w:szCs w:val="28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  <w:t>3..Неправильная работа поджелудочной.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color w:val="6583FB"/>
          <w:sz w:val="28"/>
          <w:szCs w:val="28"/>
          <w:u w:val="single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color w:val="6583FB"/>
          <w:sz w:val="28"/>
          <w:szCs w:val="28"/>
          <w:u w:val="single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color w:val="FF0000"/>
          <w:sz w:val="28"/>
          <w:szCs w:val="28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  <w:t>Интоксикация организма путём отравления, так же может стать причиной повышения билирубина.</w:t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color w:val="6583FB"/>
          <w:sz w:val="28"/>
          <w:szCs w:val="28"/>
          <w:u w:val="single"/>
        </w:rPr>
      </w:pPr>
      <w:r>
        <w:rPr>
          <w:b/>
          <w:bCs/>
          <w:i/>
          <w:iCs/>
          <w:strike w:val="false"/>
          <w:dstrike w:val="false"/>
          <w:color w:val="6583FB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color w:val="FF0000"/>
          <w:sz w:val="28"/>
          <w:szCs w:val="28"/>
          <w:u w:val="single"/>
        </w:rPr>
      </w:pPr>
      <w:r>
        <w:rPr>
          <w:b/>
          <w:bCs/>
          <w:i/>
          <w:iCs/>
          <w:strike w:val="false"/>
          <w:dstrike w:val="false"/>
          <w:color w:val="FF0000"/>
          <w:sz w:val="28"/>
          <w:szCs w:val="28"/>
          <w:u w:val="single"/>
        </w:rPr>
      </w:r>
    </w:p>
    <w:p>
      <w:pPr>
        <w:pStyle w:val="Normal1"/>
        <w:pBdr/>
        <w:tabs>
          <w:tab w:val="clear" w:pos="720"/>
          <w:tab w:val="left" w:pos="1824" w:leader="none"/>
          <w:tab w:val="left" w:pos="3672" w:leader="none"/>
          <w:tab w:val="left" w:pos="4849" w:leader="none"/>
          <w:tab w:val="left" w:pos="6890" w:leader="none"/>
          <w:tab w:val="left" w:pos="8099" w:leader="none"/>
        </w:tabs>
        <w:ind w:left="262" w:right="271" w:hanging="0"/>
        <w:rPr>
          <w:b/>
          <w:b/>
          <w:bCs/>
          <w:i/>
          <w:i/>
          <w:iCs/>
          <w:strike w:val="false"/>
          <w:dstrike w:val="false"/>
          <w:u w:val="single"/>
        </w:rPr>
      </w:pPr>
      <w:r>
        <w:rPr>
          <w:b/>
          <w:bCs/>
          <w:i/>
          <w:iCs/>
          <w:strike w:val="false"/>
          <w:dstrike w:val="false"/>
          <w:color w:val="FF0000"/>
          <w:sz w:val="28"/>
          <w:szCs w:val="28"/>
          <w:u w:val="single"/>
        </w:rPr>
        <w:t xml:space="preserve"> </w:t>
      </w:r>
    </w:p>
    <w:sectPr>
      <w:type w:val="nextPage"/>
      <w:pgSz w:w="11906" w:h="16838"/>
      <w:pgMar w:left="1440" w:right="580" w:header="0" w:top="104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2"/>
    <w:family w:val="roman"/>
    <w:pitch w:val="variable"/>
  </w:font>
  <w:font w:name="Calibri">
    <w:charset w:val="b2"/>
    <w:family w:val="roman"/>
    <w:pitch w:val="variable"/>
  </w:font>
  <w:font w:name="Arial">
    <w:charset w:val="b2"/>
    <w:family w:val="swiss"/>
    <w:pitch w:val="variable"/>
  </w:font>
  <w:font w:name="Georgia">
    <w:charset w:val="b2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2" w:hanging="281"/>
      </w:pPr>
      <w:rPr>
        <w:sz w:val="28"/>
        <w:szCs w:val="28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474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09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43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82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7" w:hanging="28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42" w:hanging="281"/>
      </w:pPr>
      <w:rPr>
        <w:sz w:val="28"/>
        <w:b/>
        <w:szCs w:val="28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474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09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43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82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7" w:hanging="28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i/>
        <w:u w:val="none"/>
        <w:b/>
        <w:iCs/>
        <w:bCs/>
        <w:color w:val="6583FB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Tahoma"/>
        <w:sz w:val="22"/>
        <w:szCs w:val="22"/>
        <w:lang w:val="ru-RU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Tahoma"/>
      <w:color w:val="auto"/>
      <w:kern w:val="0"/>
      <w:sz w:val="22"/>
      <w:szCs w:val="22"/>
      <w:lang w:val="ru-RU" w:eastAsia="zh-CN" w:bidi="ar-SA"/>
    </w:rPr>
  </w:style>
  <w:style w:type="paragraph" w:styleId="Heading1">
    <w:name w:val="Heading 1"/>
    <w:basedOn w:val="Normal1"/>
    <w:next w:val="Normal1"/>
    <w:qFormat/>
    <w:pPr>
      <w:spacing w:lineRule="auto" w:line="319"/>
      <w:ind w:left="262" w:hanging="0"/>
    </w:pPr>
    <w:rPr>
      <w:b/>
      <w:sz w:val="28"/>
      <w:szCs w:val="2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Times New Roman" w:cs="Times New Roman"/>
      <w:sz w:val="28"/>
      <w:szCs w:val="28"/>
    </w:rPr>
  </w:style>
  <w:style w:type="character" w:styleId="ListLabel2">
    <w:name w:val="ListLabel 2"/>
    <w:qFormat/>
    <w:rPr>
      <w:rFonts w:eastAsia="Times New Roman" w:cs="Times New Roman"/>
      <w:b/>
      <w:sz w:val="28"/>
      <w:szCs w:val="28"/>
    </w:rPr>
  </w:style>
  <w:style w:type="character" w:styleId="ListLabel3">
    <w:name w:val="ListLabel 3"/>
    <w:qFormat/>
    <w:rPr>
      <w:b/>
      <w:bCs/>
      <w:i/>
      <w:iCs/>
      <w:color w:val="6583FB"/>
      <w:sz w:val="28"/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Calibri" w:hAnsi="Calibri" w:eastAsia="NSimSun" w:cs="Tahoma"/>
      <w:color w:val="auto"/>
      <w:kern w:val="0"/>
      <w:sz w:val="22"/>
      <w:szCs w:val="22"/>
      <w:lang w:val="ru-RU" w:eastAsia="zh-CN" w:bidi="ar-SA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Trio_Office/6.2.8.2$Windows_x86 LibreOffice_project/</Application>
  <Pages>3</Pages>
  <Words>333</Words>
  <Characters>2237</Characters>
  <CharactersWithSpaces>2700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2021-09-22T18:43:04Z</dcterms:modified>
  <cp:revision>1</cp:revision>
  <dc:subject/>
  <dc:title/>
</cp:coreProperties>
</file>