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5C4B18" w:rsidRPr="00DB0511" w:rsidTr="00FF2447">
        <w:trPr>
          <w:trHeight w:val="2984"/>
        </w:trPr>
        <w:tc>
          <w:tcPr>
            <w:tcW w:w="7088" w:type="dxa"/>
          </w:tcPr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5C4B18" w:rsidRPr="00E30DB5" w:rsidRDefault="005C4B18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5C4B18" w:rsidRPr="00E30DB5" w:rsidRDefault="005C4B18" w:rsidP="00FF244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B18" w:rsidRPr="00E30DB5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5C4B18" w:rsidRPr="00DA439B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5C4B18" w:rsidRPr="00E30DB5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4B18" w:rsidRPr="00E30DB5" w:rsidRDefault="005C4B18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4B18" w:rsidRPr="007F229D" w:rsidRDefault="005C4B18" w:rsidP="005C4B18">
      <w:pPr>
        <w:tabs>
          <w:tab w:val="left" w:pos="21"/>
        </w:tabs>
        <w:spacing w:after="0" w:line="360" w:lineRule="auto"/>
        <w:ind w:right="5385"/>
        <w:rPr>
          <w:rFonts w:ascii="Times New Roman" w:hAnsi="Times New Roman"/>
          <w:sz w:val="28"/>
          <w:szCs w:val="28"/>
        </w:rPr>
      </w:pPr>
    </w:p>
    <w:p w:rsidR="005C4B18" w:rsidRDefault="005C4B18" w:rsidP="005C4B18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C4B18" w:rsidRDefault="005C4B18" w:rsidP="005C4B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5C4B18" w:rsidRPr="007F229D" w:rsidRDefault="005C4B18" w:rsidP="005C4B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Наркология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5C4B18" w:rsidRPr="007F2480" w:rsidRDefault="005C4B18" w:rsidP="005C4B18">
      <w:pPr>
        <w:pStyle w:val="2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5C4B18" w:rsidRPr="00927A98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Наркология</w:t>
      </w:r>
    </w:p>
    <w:p w:rsidR="005C4B18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743FA0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5C4B18" w:rsidRPr="00F96C66" w:rsidRDefault="005C4B18" w:rsidP="005C4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Псих</w:t>
      </w:r>
      <w:r>
        <w:rPr>
          <w:rFonts w:ascii="Times New Roman" w:hAnsi="Times New Roman"/>
          <w:b/>
          <w:sz w:val="28"/>
          <w:szCs w:val="28"/>
        </w:rPr>
        <w:t>отерапия</w:t>
      </w:r>
    </w:p>
    <w:p w:rsidR="005C4B18" w:rsidRPr="00743FA0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5C4B18" w:rsidRPr="00743FA0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>
        <w:rPr>
          <w:rFonts w:ascii="Times New Roman" w:hAnsi="Times New Roman"/>
          <w:b/>
          <w:sz w:val="28"/>
          <w:szCs w:val="28"/>
        </w:rPr>
        <w:t>отерапевт</w:t>
      </w:r>
    </w:p>
    <w:p w:rsidR="005C4B18" w:rsidRPr="00743FA0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C4B18" w:rsidRDefault="005C4B18" w:rsidP="005C4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5C4B18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743FA0" w:rsidRDefault="005C4B18" w:rsidP="005C4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5C4B18" w:rsidRPr="00743FA0" w:rsidRDefault="005C4B18" w:rsidP="005C4B1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5C4B18" w:rsidRDefault="005C4B18" w:rsidP="005C4B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72 часа</w:t>
      </w:r>
    </w:p>
    <w:p w:rsidR="005C4B18" w:rsidRPr="00AF7243" w:rsidRDefault="005C4B18" w:rsidP="005C4B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36 часов</w:t>
      </w:r>
    </w:p>
    <w:p w:rsidR="005C4B18" w:rsidRPr="008846D8" w:rsidRDefault="005C4B18" w:rsidP="005C4B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5C4B18" w:rsidRPr="00743FA0" w:rsidRDefault="005C4B18" w:rsidP="005C4B1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3 (з.е.)  108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5C4B18" w:rsidRDefault="005C4B18" w:rsidP="005C4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B18" w:rsidRDefault="005C4B18" w:rsidP="005C4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B18" w:rsidRPr="00826821" w:rsidRDefault="005C4B18" w:rsidP="005C4B1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24</w:t>
      </w:r>
    </w:p>
    <w:p w:rsidR="005C4B18" w:rsidRDefault="005C4B18" w:rsidP="005C4B1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C440EE" w:rsidRDefault="005C4B18" w:rsidP="005C4B1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5C4B18" w:rsidRPr="00C440EE" w:rsidRDefault="005C4B18" w:rsidP="005C4B1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C440EE" w:rsidRDefault="005C4B18" w:rsidP="005C4B1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5C4B18" w:rsidRPr="00C440EE" w:rsidRDefault="005C4B18" w:rsidP="005C4B1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4B18" w:rsidRPr="00C440EE" w:rsidRDefault="005C4B18" w:rsidP="005C4B1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5C4B18" w:rsidRPr="00C440EE" w:rsidRDefault="005C4B18" w:rsidP="005C4B1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5C4B18" w:rsidRPr="00C440EE" w:rsidRDefault="005C4B18" w:rsidP="005C4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B18" w:rsidRPr="00885BD6" w:rsidRDefault="005C4B18" w:rsidP="005C4B18">
      <w:pPr>
        <w:jc w:val="both"/>
        <w:rPr>
          <w:rFonts w:ascii="Times New Roman" w:hAnsi="Times New Roman"/>
          <w:sz w:val="28"/>
          <w:szCs w:val="28"/>
        </w:rPr>
      </w:pPr>
      <w:r w:rsidRPr="00885BD6">
        <w:rPr>
          <w:rFonts w:ascii="Times New Roman" w:hAnsi="Times New Roman"/>
          <w:sz w:val="28"/>
          <w:szCs w:val="28"/>
        </w:rPr>
        <w:t xml:space="preserve">Секретарь </w:t>
      </w:r>
    </w:p>
    <w:p w:rsidR="00047037" w:rsidRDefault="005C4B18" w:rsidP="005C4B18">
      <w:pPr>
        <w:jc w:val="both"/>
        <w:rPr>
          <w:rFonts w:ascii="Times New Roman" w:hAnsi="Times New Roman"/>
          <w:sz w:val="28"/>
          <w:szCs w:val="28"/>
        </w:rPr>
      </w:pPr>
      <w:r w:rsidRPr="00885BD6">
        <w:rPr>
          <w:rFonts w:ascii="Times New Roman" w:hAnsi="Times New Roman"/>
          <w:sz w:val="28"/>
          <w:szCs w:val="28"/>
        </w:rPr>
        <w:t>Ученого совета                                                         ______________   М.В. Кабытова</w:t>
      </w:r>
    </w:p>
    <w:p w:rsidR="00047037" w:rsidRPr="009C6330" w:rsidRDefault="00047037" w:rsidP="009C633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br w:type="page"/>
      </w:r>
      <w:r w:rsidRPr="009C6330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9C6330" w:rsidRPr="009C6330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 xml:space="preserve">1.1 </w:t>
      </w:r>
      <w:r w:rsidR="009C6330" w:rsidRPr="009C6330">
        <w:rPr>
          <w:rFonts w:ascii="Times New Roman" w:hAnsi="Times New Roman"/>
          <w:sz w:val="28"/>
          <w:szCs w:val="28"/>
        </w:rPr>
        <w:t xml:space="preserve">Целью освоения дисциплины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 xml:space="preserve">«Психиатрия-наркология» </w:t>
      </w:r>
      <w:r w:rsidR="009C6330" w:rsidRPr="009C6330">
        <w:rPr>
          <w:rFonts w:ascii="Times New Roman" w:hAnsi="Times New Roman"/>
          <w:sz w:val="28"/>
          <w:szCs w:val="28"/>
        </w:rPr>
        <w:t xml:space="preserve">Блока 1 (вариативная часть) является формирование компетенций выпускника- врача-психотерапевта по направлению подготовки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31.08.22</w:t>
      </w:r>
      <w:r w:rsidR="009C6330" w:rsidRPr="009C6330">
        <w:rPr>
          <w:rFonts w:ascii="Times New Roman" w:hAnsi="Times New Roman"/>
          <w:sz w:val="28"/>
          <w:szCs w:val="28"/>
        </w:rPr>
        <w:t xml:space="preserve">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«Психотерапия»</w:t>
      </w:r>
      <w:r w:rsidR="009C6330" w:rsidRPr="009C6330">
        <w:rPr>
          <w:rFonts w:ascii="Times New Roman" w:hAnsi="Times New Roman"/>
          <w:sz w:val="28"/>
          <w:szCs w:val="28"/>
        </w:rPr>
        <w:t xml:space="preserve"> обеспечивающих их готовность и способность к самостоятельной профессиональной деятельности,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здравоохранения.</w:t>
      </w: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6330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 «Психиатрия-наркология»: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9C6330">
        <w:rPr>
          <w:rFonts w:ascii="Times New Roman" w:hAnsi="Times New Roman"/>
          <w:sz w:val="28"/>
          <w:szCs w:val="28"/>
        </w:rPr>
        <w:t>овладение теорией и практикой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методов обследования наркологических больных и построения диагноза на основании анализа и синтеза данных, полученных при обследовании;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принципов медицинской деонтологии в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основных принципов организации наркологической помощи;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Style w:val="s10"/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врачом психиатром вопросов профилактики, лечения, психосоциальной реабилитации и экспертизы больных с наркологической патологией.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неотложных состояний;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беременности;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специализированной медицинской помощи;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реабилитации;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lastRenderedPageBreak/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проведения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оценки качества оказания медицинской помощи пациентам;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соблюдение основных требований информационной безопасности.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2.Результаты обучения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компетенции.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готовностью к абстрактному мышлению, анализу, синтезу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УК-1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Выпускник, освоивший программу ординатуры, должен обладать профессиональными компетенциями: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профилактическая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>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ПК-1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ПК-2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диагностическая деятельность: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ПК- 5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реабилитационная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ПК-8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врача-специалиста психотерапевта по психиатрии-наркологии предполагает овладение ординатором системой следующих знаний, умений и владений: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bCs/>
          <w:sz w:val="28"/>
          <w:szCs w:val="28"/>
          <w:u w:val="single"/>
        </w:rPr>
        <w:t>Знания: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lastRenderedPageBreak/>
        <w:t>– общие вопросы организации работы наркологической службы и взаимодействие с другими лечебно-профилактическими учреждениями (УК1, ПК1, ПК2, ПК5)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эпидемиологию наркологических заболеваний в РФ и в данном конкретном регионе, где работает врач (ПК1)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теоретические основы наркологии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современную классификацию наркологических расстройств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генетические аспекты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диагностику наркологических заболеваний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функциональные методы исследования в наркологии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принципы медико-социальной экспертизы и реабилитации больных с наркологическими расстройствами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диспансерное наблюдение больных с наркологическими расстройствами 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немедикаментозной терапии, лечебной физкультуры, санаторно-курортного лечения больных с психиатрическими и наркологическими заболеваниями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sz w:val="28"/>
          <w:szCs w:val="28"/>
          <w:u w:val="single"/>
        </w:rPr>
        <w:t>Умения:</w:t>
      </w:r>
    </w:p>
    <w:p w:rsidR="009C6330" w:rsidRPr="009C6330" w:rsidRDefault="009C6330" w:rsidP="009C6330">
      <w:pPr>
        <w:pStyle w:val="aa"/>
        <w:jc w:val="both"/>
        <w:rPr>
          <w:szCs w:val="28"/>
        </w:rPr>
      </w:pPr>
      <w:r w:rsidRPr="009C6330">
        <w:rPr>
          <w:szCs w:val="28"/>
        </w:rPr>
        <w:t>– находить и использовать нормативно-правовую документацию, регулирующую оказание наркологической помощи в практике врача-психиатра.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–выявлять и оценивать исчерпывающую информацию о факторах риска, ранних симптомах наркологического заболевания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выявлять возможные причины наркологических заболеваний: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вырабатывать план ведения больного в амбулаторных условиях или в стационаре, определять необходимость применения специальных методов обследования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и специальных методов исследования (ультразвуковые, лабораторные, рентгенологические и др.)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дифференциальную диагностику, обосновывать клинический диагноз, схему, план, тактику ведения больного (ПК1, ПК5);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у</w:t>
      </w:r>
      <w:r w:rsidRPr="009C6330">
        <w:rPr>
          <w:rFonts w:ascii="Times New Roman" w:hAnsi="Times New Roman"/>
          <w:iCs/>
          <w:sz w:val="28"/>
          <w:szCs w:val="28"/>
        </w:rPr>
        <w:t xml:space="preserve">меть проводить наркологическое освидетельствование, в том числе в рамках профилактических медицинских осмотров </w:t>
      </w:r>
      <w:r w:rsidRPr="009C6330">
        <w:rPr>
          <w:rFonts w:ascii="Times New Roman" w:hAnsi="Times New Roman"/>
          <w:sz w:val="28"/>
          <w:szCs w:val="28"/>
        </w:rPr>
        <w:t>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осуществлять меры по комплексной реабилитации больного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санитарно-просветительную работу среди населения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оформлять необходимую медицинскую документацию, предусмотренную законодательством по здравоохранению (ПК2,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C6330" w:rsidRPr="009C6330" w:rsidSect="000C1511">
          <w:footerReference w:type="default" r:id="rId7"/>
          <w:footerReference w:type="first" r:id="rId8"/>
          <w:pgSz w:w="11901" w:h="16840"/>
          <w:pgMar w:top="992" w:right="1134" w:bottom="851" w:left="851" w:header="709" w:footer="0" w:gutter="0"/>
          <w:cols w:space="708"/>
          <w:titlePg/>
          <w:docGrid w:linePitch="360"/>
        </w:sect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3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379"/>
        <w:gridCol w:w="3387"/>
        <w:gridCol w:w="3396"/>
        <w:gridCol w:w="3390"/>
      </w:tblGrid>
      <w:tr w:rsidR="009C6330" w:rsidRPr="009C6330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173" w:type="dxa"/>
            <w:gridSpan w:val="3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C6330" w:rsidRPr="009C6330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C6330" w:rsidRPr="009C6330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психиатрии-наркологии;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психиатрии-наркологии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источников,работать с информацией в глобальных компьютерных сетях.</w:t>
            </w:r>
          </w:p>
        </w:tc>
      </w:tr>
      <w:tr w:rsidR="009C6330" w:rsidRPr="009C6330" w:rsidTr="00825BF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1 -основные этапы формирования психики человека и критерии психического здоровья;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–биологические и психологическиеосновы поведения человека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–критерии психического здоровья, 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2 - этиологию, патогенез, ведущие клинические проявления, методы диагностики, лабораторные показатели и исходы основных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проводить беседы с пациентами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навыком оценки психического здоровья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 обосновывать использование психофармакологических препаратов;владеть методиками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патопсихологическогообследования;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действие психофармакологических лекарственных препаратов и возможных осложнений принарушении назначения.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2 –навыком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3 -  дифференциальной диагностикой основных психических заболеваний;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наркологическогодиагноза.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необходимость и вид санаторно-курортного лечения при разных вариантах течения нозологий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санаторно-курортного лечения при разных вариантах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течения и нозологиях</w:t>
            </w:r>
          </w:p>
        </w:tc>
      </w:tr>
    </w:tbl>
    <w:p w:rsid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C6330" w:rsidSect="00FC7E3F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47037" w:rsidRPr="007B0FE4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47037" w:rsidRPr="007B0FE4" w:rsidRDefault="00047037" w:rsidP="00047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47037" w:rsidRPr="00826821" w:rsidRDefault="00047037" w:rsidP="000470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47037" w:rsidRPr="00C2577E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</w:t>
      </w:r>
    </w:p>
    <w:p w:rsidR="00047037" w:rsidRPr="000860CD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47037" w:rsidRPr="007B0FE4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47037" w:rsidRPr="000860CD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Default="00047037" w:rsidP="000470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47037" w:rsidRPr="007B0FE4" w:rsidRDefault="00047037" w:rsidP="0004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47037" w:rsidRPr="00D7328A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47037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47037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9C6330" w:rsidRPr="00D7328A" w:rsidRDefault="009C6330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401"/>
      </w:tblGrid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lastRenderedPageBreak/>
              <w:t> Основная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3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Pr="009C6330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33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2.</w:t>
            </w:r>
            <w:r w:rsidRPr="009C6330">
              <w:rPr>
                <w:rFonts w:ascii="Times New Roman" w:hAnsi="Times New Roman"/>
                <w:sz w:val="28"/>
                <w:szCs w:val="28"/>
              </w:rPr>
              <w:t xml:space="preserve">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9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https://www.studentlibrary.ru/book/ISBN9785970458761.html</w:t>
              </w:r>
            </w:hyperlink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3. Шабанов, П. Д. </w:t>
            </w:r>
            <w:r w:rsidRPr="009C6330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Наркология</w:t>
            </w: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 : руководство / Шабанов П. Д. - 2-е изд. , перераб. и доп. - Москва : ГЭОТАР-Медиа, 2015. - 832 с. (Серия "Библиотека врача-специалиста") - ISBN 978-5-9704-3187-0. - Текст : электронный // ЭБС "Консультант студента" : [сайт]. - URL : https://www.studentlibrary.ru/book/ISBN9785970431870.html </w:t>
            </w:r>
          </w:p>
        </w:tc>
      </w:tr>
      <w:tr w:rsidR="005C4B18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B18" w:rsidRPr="009C6330" w:rsidRDefault="005C4B18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B18" w:rsidRPr="009C6330" w:rsidRDefault="005C4B18" w:rsidP="00825BF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4. </w:t>
            </w:r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Менделевич, В. Д. Психиатрия   : учебник / В. Д. Менделевич, Е. Г. Менделевич. - Ростов-на-Дону : Феникс, 2023. - 414 с. (Высшее медицинское образование) - ISBN 978-5-222-41240-4. - Текст : электронный // ЭБС "Консультант студента" : [сайт]. - URL : https://www.studentlibrary.ru/book/ISBN9785222412404.html </w:t>
            </w:r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  <w:vertAlign w:val="superscript"/>
              </w:rPr>
              <w:t>1</w:t>
            </w:r>
            <w:bookmarkStart w:id="0" w:name="_GoBack"/>
            <w:bookmarkEnd w:id="0"/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1.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10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https://www.studentlibrary.ru/book/ISBN9785970458761.html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 xml:space="preserve">2. 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</w:t>
            </w:r>
            <w:r w:rsidRPr="009C6330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lastRenderedPageBreak/>
              <w:t>Лань : электронно-библиотечная система. — URL: https://e.lanbook.com/book/174523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3. Шабанов, П. Д. </w:t>
            </w:r>
            <w:r w:rsidRPr="009C6330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Наркология</w:t>
            </w: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 : руководство / Шабанов П. Д. - 2-е изд. , перераб. и доп. - Москва : ГЭОТАР-Медиа, 2015. - 832 с. (Серия "Библиотека врача-специалиста") - ISBN 978-5-9704-3187-0. - Текст : электронный // ЭБС "Консультант студента" : [сайт]. - URL : https://www.studentlibrary.ru/book/ISBN9785970431870.html 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4. 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      </w:r>
            <w:hyperlink r:id="rId11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https://www.studentlibrary.ru/book/ISBN9785970444627.html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rHeight w:val="277"/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5. Васильев, Ю. Н. Экстрапирамидные расстройства для врачей : учебное пособие / Ю. Н. Васильев, Ю. Н. Быков, Т. Б. Бендер. — Иркутск : ИГМУ, 2018. — 84 с. — Текст : электронный // Лань : электронно-библиотечная система. — URL: </w:t>
            </w:r>
            <w:hyperlink r:id="rId12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https://e.lanbook.com/book/158811</w:t>
              </w:r>
            </w:hyperlink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6.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      </w:r>
            <w:hyperlink r:id="rId13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https://www.studentlibrary.ru/book/ISBN9785970461754.html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7. Иванец, Н. Н. Наркология. Национальное руководство. Краткое издание / под ред. Н. Н. Иванца, М. А. Винниковой. - Москва : ГЭОТАР-Медиа, 2020. - 704 с. - ISBN 978-5-9704-5423-7. - Текст : электронный // ЭБС "Консультант студента" : [сайт]. - URL : </w:t>
            </w:r>
            <w:hyperlink r:id="rId14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https://www.studentlibrary.ru/book/ISBN9785970454237.html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8. 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</w:t>
            </w:r>
            <w:r w:rsidRPr="009C63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система. — URL: </w:t>
            </w:r>
            <w:hyperlink r:id="rId15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https://e.lanbook.com/book/113549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9. 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16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https://www.studentlibrary.ru/book/ISBN9785970450383.html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10. Менделевич, В. Д. Психиатрическая пропедевтика / В. Д. Менделевич - Москва : ГЭОТАР-Медиа, 2014. - 576 с. - ISBN 978-5-9704-2863-4. - Текст : электронный // ЭБС "Консультант студента" : [сайт]. - URL : https://www.studentlibrary.ru/book/ISBN9785970428634.html 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11. Можгинский, Ю. Б. Агрессия детей и подростков / Можгинский Ю. Б. - Москва : ГЭОТАР-Медиа, 2019. - 96 с. - ISBN 978-5-9704-5139-7. - Текст : электронный // ЭБС "Консультант студента" : [сайт]. - URL : </w:t>
            </w:r>
            <w:hyperlink r:id="rId17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https://www.studentlibrary.ru/book/ISBN9785970451397.html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12. Неробкова, Л. Н. Клиническая электроэнцефалография. Фармакоэлектроэнцефалография / Неробкова Л. Н. , Авакян Г. Г. , Воронина Т. А. , Авакян Г. Н. - Москва : ГЭОТАР-Медиа, 2020. - 288 с. (Серия "Библиотека врача-специалиста") - ISBN 978-5-9704-5371-1. - Текст : электронный // ЭБС "Консультант студента" : [сайт]. - URL : </w:t>
            </w:r>
            <w:hyperlink r:id="rId18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https://www.studentlibrary.ru/book/ISBN9785970453711.html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spacing w:before="100" w:beforeAutospacing="1" w:after="100" w:afterAutospacing="1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bCs/>
                <w:sz w:val="28"/>
                <w:szCs w:val="28"/>
              </w:rPr>
              <w:t>13. Оруджев Н. Я.</w:t>
            </w:r>
            <w:r w:rsidRPr="009C6330">
              <w:rPr>
                <w:rFonts w:ascii="Times New Roman" w:hAnsi="Times New Roman"/>
                <w:sz w:val="28"/>
                <w:szCs w:val="28"/>
              </w:rPr>
              <w:t>   Клиника, дифференциальная диагностика и лечение депрессивных расстройств  : учеб. пособие для спец. - 14.01.06 - Психиатрия / Н. Я. Оруджев, В. В. Ростовщиков ; ВолгГМУ Минздрава РФ. - Волгоград : Изд-во ВолгГМУ, 2013. - 107, [1] с. - Библиогр. : с. 105 (5 назв.). - ISBN 978-5-9652-0292-8. – Текст : непосредственный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spacing w:before="100" w:beforeAutospacing="1" w:after="100" w:afterAutospacing="1"/>
              <w:ind w:left="9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bCs/>
                <w:sz w:val="28"/>
                <w:szCs w:val="28"/>
              </w:rPr>
              <w:t>14. Оруджев Н. Я.</w:t>
            </w:r>
            <w:r w:rsidRPr="009C6330">
              <w:rPr>
                <w:rFonts w:ascii="Times New Roman" w:hAnsi="Times New Roman"/>
                <w:sz w:val="28"/>
                <w:szCs w:val="28"/>
              </w:rPr>
              <w:t xml:space="preserve">   Систематика, диагностика и лечение шизофрении [Текст] : учеб. пособие, для спец. 14.01.06 - Психиатрия / Н. Я. Оруджев, В. В. Ростовщиков ; ВолгГМУ Минздрава РФ. - Волгоград : Изд-во ВолгГМУ, 2015. - 77, [3] с. : </w:t>
            </w:r>
            <w:r w:rsidRPr="009C6330">
              <w:rPr>
                <w:rFonts w:ascii="Times New Roman" w:hAnsi="Times New Roman"/>
                <w:sz w:val="28"/>
                <w:szCs w:val="28"/>
              </w:rPr>
              <w:lastRenderedPageBreak/>
              <w:t>табл. - Библиогр. : с. 70 (4 назв.). - ISBN 978-5-9652-0364-2. – Текст : непосредственный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15.Сидоров, П. И. Ментальная медицина : адаптивное управление сознанием и здоровьем / П. И. Сидоров - Москва : ГЭОТАР-Медиа, 2017. - 736 с. - ISBN 978-5-9704-4148-0. - Текст : электронный // ЭБС "Консультант студента" : [сайт]. - URL : https://www.studentlibrary.ru/book/ISBN9785970441480.html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16. 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 — Текст : электронный // Лань : электронно-библиотечная система. — URL: </w:t>
            </w:r>
            <w:hyperlink r:id="rId19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https://e.lanbook.com/book/174058</w:t>
              </w:r>
            </w:hyperlink>
            <w:r w:rsidRPr="009C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 xml:space="preserve">17. Станько Э. П. Социальное функционирование ВИЧ-инфицированных потребителей наркотиков : монография / Э. П. Станько. - Гродно : ГрГМУ, 2018. - 316 c. - ISBN 9789855589366. - Текст : электронный // ЭБС "Букап" : [сайт]. - URL : </w:t>
            </w:r>
            <w:hyperlink r:id="rId20" w:history="1">
              <w:r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https://www.books-up.ru/ru/book/socialnoe-funkcionirovanie-vich-inficirovannyh-potrebitelej-narkotikov-12203421/</w:t>
              </w:r>
            </w:hyperlink>
          </w:p>
        </w:tc>
      </w:tr>
      <w:tr w:rsidR="009C6330" w:rsidRPr="009C6330" w:rsidTr="009C6330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330" w:rsidRPr="009C6330" w:rsidRDefault="009C6330" w:rsidP="00825BFC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 w:rsidRPr="009C63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18. Шмуклер, А. Б. Шизофрения / Шмуклер А. Б. - Москва : ГЭОТАР-Медиа, 2019. - 176 с. (Серия "Библиотека врача-специалиста") - ISBN 978-5-9704-5446-6. - Текст : электронный // ЭБС "Консультант студента" : [сайт]. - URL : https://www.studentlibrary.ru/book/ISBN9785970454466.html</w:t>
            </w:r>
          </w:p>
        </w:tc>
      </w:tr>
    </w:tbl>
    <w:p w:rsidR="005C4B18" w:rsidRPr="00D20C2F" w:rsidRDefault="005C4B18" w:rsidP="005C4B18">
      <w:pPr>
        <w:spacing w:after="0" w:line="240" w:lineRule="auto"/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D20C2F">
        <w:rPr>
          <w:rFonts w:ascii="Times New Roman" w:hAnsi="Times New Roman"/>
          <w:sz w:val="16"/>
          <w:szCs w:val="16"/>
          <w:vertAlign w:val="superscript"/>
        </w:rPr>
        <w:t>1</w:t>
      </w:r>
      <w:r w:rsidRPr="00D20C2F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9C6330" w:rsidRDefault="009C6330" w:rsidP="009C6330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</w:p>
    <w:p w:rsidR="009C6330" w:rsidRPr="009D5B07" w:rsidRDefault="009C6330" w:rsidP="009C6330">
      <w:pPr>
        <w:pStyle w:val="a6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9C6330" w:rsidRDefault="009C6330" w:rsidP="009C6330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C6330" w:rsidRPr="009C6330" w:rsidTr="00825BF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C6330" w:rsidRPr="009C6330" w:rsidTr="00825BFC">
        <w:trPr>
          <w:trHeight w:val="619"/>
        </w:trPr>
        <w:tc>
          <w:tcPr>
            <w:tcW w:w="6348" w:type="dxa"/>
            <w:shd w:val="clear" w:color="auto" w:fill="auto"/>
          </w:tcPr>
          <w:p w:rsidR="009C6330" w:rsidRPr="009C6330" w:rsidRDefault="00B97FB7" w:rsidP="00825BFC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59"/>
        </w:trPr>
        <w:tc>
          <w:tcPr>
            <w:tcW w:w="6348" w:type="dxa"/>
            <w:shd w:val="clear" w:color="auto" w:fill="auto"/>
          </w:tcPr>
          <w:p w:rsidR="009C6330" w:rsidRPr="009C6330" w:rsidRDefault="00B97FB7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593"/>
        </w:trPr>
        <w:tc>
          <w:tcPr>
            <w:tcW w:w="6348" w:type="dxa"/>
            <w:shd w:val="clear" w:color="auto" w:fill="auto"/>
          </w:tcPr>
          <w:p w:rsidR="009C6330" w:rsidRPr="009C6330" w:rsidRDefault="00B97FB7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B97FB7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SpringerNature: http://link.springer.com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Платформа EASTVIEW: https://dlib.eastview.com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9C6330" w:rsidRPr="009D607D" w:rsidRDefault="009C6330" w:rsidP="009C6330">
      <w:pPr>
        <w:pStyle w:val="a6"/>
        <w:widowControl w:val="0"/>
        <w:tabs>
          <w:tab w:val="left" w:pos="8124"/>
        </w:tabs>
        <w:spacing w:after="0" w:line="36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ab/>
      </w:r>
    </w:p>
    <w:p w:rsidR="00047037" w:rsidRDefault="00047037" w:rsidP="009C6330">
      <w:pPr>
        <w:spacing w:after="0" w:line="240" w:lineRule="atLeast"/>
        <w:outlineLvl w:val="1"/>
      </w:pPr>
    </w:p>
    <w:sectPr w:rsidR="00047037" w:rsidSect="000470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B7" w:rsidRDefault="00B97FB7">
      <w:pPr>
        <w:spacing w:after="0" w:line="240" w:lineRule="auto"/>
      </w:pPr>
      <w:r>
        <w:separator/>
      </w:r>
    </w:p>
  </w:endnote>
  <w:endnote w:type="continuationSeparator" w:id="0">
    <w:p w:rsidR="00B97FB7" w:rsidRDefault="00B9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81861"/>
      <w:docPartObj>
        <w:docPartGallery w:val="Page Numbers (Bottom of Page)"/>
        <w:docPartUnique/>
      </w:docPartObj>
    </w:sdtPr>
    <w:sdtEndPr/>
    <w:sdtContent>
      <w:p w:rsidR="00EF6DD3" w:rsidRDefault="009C63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18">
          <w:rPr>
            <w:noProof/>
          </w:rPr>
          <w:t>12</w:t>
        </w:r>
        <w:r>
          <w:fldChar w:fldCharType="end"/>
        </w:r>
      </w:p>
    </w:sdtContent>
  </w:sdt>
  <w:p w:rsidR="00EF6DD3" w:rsidRDefault="00B97F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D3" w:rsidRDefault="00B97FB7">
    <w:pPr>
      <w:pStyle w:val="a8"/>
      <w:jc w:val="right"/>
    </w:pPr>
  </w:p>
  <w:p w:rsidR="00EF6DD3" w:rsidRDefault="00B97F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B7" w:rsidRDefault="00B97FB7">
      <w:pPr>
        <w:spacing w:after="0" w:line="240" w:lineRule="auto"/>
      </w:pPr>
      <w:r>
        <w:separator/>
      </w:r>
    </w:p>
  </w:footnote>
  <w:footnote w:type="continuationSeparator" w:id="0">
    <w:p w:rsidR="00B97FB7" w:rsidRDefault="00B9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005"/>
    <w:multiLevelType w:val="hybridMultilevel"/>
    <w:tmpl w:val="1096894A"/>
    <w:lvl w:ilvl="0" w:tplc="5276FC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37"/>
    <w:rsid w:val="00047037"/>
    <w:rsid w:val="000669A3"/>
    <w:rsid w:val="001449CA"/>
    <w:rsid w:val="00297842"/>
    <w:rsid w:val="00413007"/>
    <w:rsid w:val="00421E6B"/>
    <w:rsid w:val="005C4B18"/>
    <w:rsid w:val="00764183"/>
    <w:rsid w:val="009C6330"/>
    <w:rsid w:val="009F0CC8"/>
    <w:rsid w:val="00A20A19"/>
    <w:rsid w:val="00B97FB7"/>
    <w:rsid w:val="00C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54504-932F-4607-BE01-E41EB3F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04703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047037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47037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47037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47037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7037"/>
    <w:rPr>
      <w:rFonts w:ascii="Calibri" w:hAnsi="Calibri"/>
      <w:sz w:val="22"/>
      <w:szCs w:val="22"/>
      <w:lang w:bidi="ar-SA"/>
    </w:rPr>
  </w:style>
  <w:style w:type="character" w:styleId="a5">
    <w:name w:val="Hyperlink"/>
    <w:rsid w:val="00047037"/>
    <w:rPr>
      <w:color w:val="0000FF"/>
      <w:u w:val="single"/>
    </w:rPr>
  </w:style>
  <w:style w:type="paragraph" w:styleId="a6">
    <w:name w:val="Body Text Indent"/>
    <w:basedOn w:val="a"/>
    <w:link w:val="a7"/>
    <w:rsid w:val="000669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669A3"/>
    <w:rPr>
      <w:rFonts w:ascii="Calibri" w:hAnsi="Calibri"/>
      <w:sz w:val="22"/>
      <w:szCs w:val="22"/>
      <w:lang w:bidi="ar-SA"/>
    </w:rPr>
  </w:style>
  <w:style w:type="paragraph" w:styleId="a8">
    <w:name w:val="footer"/>
    <w:basedOn w:val="a"/>
    <w:link w:val="a9"/>
    <w:uiPriority w:val="99"/>
    <w:rsid w:val="009C6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330"/>
    <w:rPr>
      <w:rFonts w:ascii="Calibri" w:hAnsi="Calibri"/>
      <w:sz w:val="22"/>
      <w:szCs w:val="22"/>
    </w:rPr>
  </w:style>
  <w:style w:type="character" w:customStyle="1" w:styleId="s10">
    <w:name w:val="s_10"/>
    <w:basedOn w:val="a0"/>
    <w:rsid w:val="009C6330"/>
  </w:style>
  <w:style w:type="paragraph" w:styleId="aa">
    <w:name w:val="Title"/>
    <w:basedOn w:val="a"/>
    <w:link w:val="ab"/>
    <w:qFormat/>
    <w:rsid w:val="009C63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6330"/>
    <w:rPr>
      <w:sz w:val="28"/>
    </w:rPr>
  </w:style>
  <w:style w:type="paragraph" w:customStyle="1" w:styleId="Style1">
    <w:name w:val="Style1"/>
    <w:basedOn w:val="a"/>
    <w:rsid w:val="009C6330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Mangal"/>
      <w:sz w:val="24"/>
      <w:szCs w:val="24"/>
      <w:lang w:bidi="sa-IN"/>
    </w:rPr>
  </w:style>
  <w:style w:type="character" w:customStyle="1" w:styleId="FontStyle11">
    <w:name w:val="Font Style11"/>
    <w:basedOn w:val="a0"/>
    <w:rsid w:val="009C6330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99"/>
    <w:qFormat/>
    <w:rsid w:val="009C633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9C6330"/>
    <w:rPr>
      <w:rFonts w:ascii="Calibri" w:hAnsi="Calibri"/>
      <w:sz w:val="22"/>
      <w:szCs w:val="22"/>
    </w:rPr>
  </w:style>
  <w:style w:type="character" w:customStyle="1" w:styleId="hilight">
    <w:name w:val="hilight"/>
    <w:basedOn w:val="a0"/>
    <w:rsid w:val="009C6330"/>
  </w:style>
  <w:style w:type="paragraph" w:customStyle="1" w:styleId="2">
    <w:name w:val="заголовок 2"/>
    <w:basedOn w:val="a"/>
    <w:next w:val="a"/>
    <w:uiPriority w:val="99"/>
    <w:rsid w:val="005C4B1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61754.html" TargetMode="External"/><Relationship Id="rId18" Type="http://schemas.openxmlformats.org/officeDocument/2006/relationships/hyperlink" Target="https://www.studentlibrary.ru/book/ISBN978597045371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sychiat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58811" TargetMode="External"/><Relationship Id="rId17" Type="http://schemas.openxmlformats.org/officeDocument/2006/relationships/hyperlink" Target="https://www.studentlibrary.ru/book/ISBN978597045139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0383.html" TargetMode="External"/><Relationship Id="rId20" Type="http://schemas.openxmlformats.org/officeDocument/2006/relationships/hyperlink" Target="https://www.books-up.ru/ru/book/socialnoe-funkcionirovanie-vich-inficirovannyh-potrebitelej-narkotikov-122034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4627.html" TargetMode="External"/><Relationship Id="rId24" Type="http://schemas.openxmlformats.org/officeDocument/2006/relationships/hyperlink" Target="http://mdtub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3549" TargetMode="External"/><Relationship Id="rId23" Type="http://schemas.openxmlformats.org/officeDocument/2006/relationships/hyperlink" Target="http://old.consilium-medicum.com/" TargetMode="External"/><Relationship Id="rId10" Type="http://schemas.openxmlformats.org/officeDocument/2006/relationships/hyperlink" Target="https://www.studentlibrary.ru/book/ISBN9785970458761.html" TargetMode="External"/><Relationship Id="rId19" Type="http://schemas.openxmlformats.org/officeDocument/2006/relationships/hyperlink" Target="https://e.lanbook.com/book/17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8761.html" TargetMode="External"/><Relationship Id="rId14" Type="http://schemas.openxmlformats.org/officeDocument/2006/relationships/hyperlink" Target="https://www.studentlibrary.ru/book/ISBN9785970454237.html" TargetMode="External"/><Relationship Id="rId22" Type="http://schemas.openxmlformats.org/officeDocument/2006/relationships/hyperlink" Target="http://www.psychiat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29428</CharactersWithSpaces>
  <SharedDoc>false</SharedDoc>
  <HLinks>
    <vt:vector size="144" baseType="variant"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66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63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60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51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6357100</vt:i4>
      </vt:variant>
      <vt:variant>
        <vt:i4>45</vt:i4>
      </vt:variant>
      <vt:variant>
        <vt:i4>0</vt:i4>
      </vt:variant>
      <vt:variant>
        <vt:i4>5</vt:i4>
      </vt:variant>
      <vt:variant>
        <vt:lpwstr>https://www.books-up.ru/ru/book/hronicheskie-zabolevaniya-kishechnika-9534425/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https://www.books-up.ru/ru/book/ostryj-pankreatit-kompleksnaya-diagnostika-prognozirovanie-oslozhnenij-i-lechenie-11259685/</vt:lpwstr>
      </vt:variant>
      <vt:variant>
        <vt:lpwstr/>
      </vt:variant>
      <vt:variant>
        <vt:i4>3080229</vt:i4>
      </vt:variant>
      <vt:variant>
        <vt:i4>39</vt:i4>
      </vt:variant>
      <vt:variant>
        <vt:i4>0</vt:i4>
      </vt:variant>
      <vt:variant>
        <vt:i4>5</vt:i4>
      </vt:variant>
      <vt:variant>
        <vt:lpwstr>https://www.books-up.ru/ru/book/klinicheskie-rekomendacii-po-gastroenterologii-9534201/</vt:lpwstr>
      </vt:variant>
      <vt:variant>
        <vt:lpwstr/>
      </vt:variant>
      <vt:variant>
        <vt:i4>2162787</vt:i4>
      </vt:variant>
      <vt:variant>
        <vt:i4>36</vt:i4>
      </vt:variant>
      <vt:variant>
        <vt:i4>0</vt:i4>
      </vt:variant>
      <vt:variant>
        <vt:i4>5</vt:i4>
      </vt:variant>
      <vt:variant>
        <vt:lpwstr>https://www.books-up.ru/ru/book/diagnostika-i-lechenie-neotlozhnyh-sostoyanij-v-pulmonologii-i-gastroenterologii-10828406/</vt:lpwstr>
      </vt:variant>
      <vt:variant>
        <vt:lpwstr/>
      </vt:variant>
      <vt:variant>
        <vt:i4>4849693</vt:i4>
      </vt:variant>
      <vt:variant>
        <vt:i4>33</vt:i4>
      </vt:variant>
      <vt:variant>
        <vt:i4>0</vt:i4>
      </vt:variant>
      <vt:variant>
        <vt:i4>5</vt:i4>
      </vt:variant>
      <vt:variant>
        <vt:lpwstr>https://www.books-up.ru/ru/book/gastroenterologiya-12102458/</vt:lpwstr>
      </vt:variant>
      <vt:variant>
        <vt:lpwstr/>
      </vt:variant>
      <vt:variant>
        <vt:i4>7798817</vt:i4>
      </vt:variant>
      <vt:variant>
        <vt:i4>30</vt:i4>
      </vt:variant>
      <vt:variant>
        <vt:i4>0</vt:i4>
      </vt:variant>
      <vt:variant>
        <vt:i4>5</vt:i4>
      </vt:variant>
      <vt:variant>
        <vt:lpwstr>https://www.books-up.ru/ru/book/bolezni-organov-picshevareniya-v-3-ch-chast-1-9534590/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https://www.studentlibrary.ru/book/ISBN9785970447789.html</vt:lpwstr>
      </vt:variant>
      <vt:variant>
        <vt:lpwstr/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https://www.studentlibrary.ru/book/ISBN9785970445358.html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https://www.studentlibrary.ru/book/ISBN9785970448878.html</vt:lpwstr>
      </vt:variant>
      <vt:variant>
        <vt:lpwstr/>
      </vt:variant>
      <vt:variant>
        <vt:i4>5111813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https://www.studentlibrary.ru/book/ISBN9785970452561.html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https://e.lanbook.com/book/131431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https://www.studentlibrary.ru/book/ISBN9785970443385.html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https://www.studentlibrary.ru/book/ISBN9785970451755.html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https://e.lanbook.com/book/134643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https://www.studentlibrary.ru/book/ISBN9785970453339.html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https://www.studentlibrary.ru/book/ISBN9785970444061.html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3</cp:revision>
  <dcterms:created xsi:type="dcterms:W3CDTF">2022-04-27T20:31:00Z</dcterms:created>
  <dcterms:modified xsi:type="dcterms:W3CDTF">2024-06-02T21:15:00Z</dcterms:modified>
</cp:coreProperties>
</file>