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17" w:rsidRPr="00B660F1" w:rsidRDefault="002A7517" w:rsidP="005B30A6">
      <w:p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Вопросы к зачету по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патобиохимии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Роль кислорода в метаболизме эукариот. Активные формы кислорода. Кислород обусловленное повреждение макромолекул. 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Биологическое окисление. Окислительное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фосфорилирование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, как основной потребитель кислорода.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ЭТЦ 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цитохром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proofErr w:type="gram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С</w:t>
      </w:r>
      <w:proofErr w:type="gram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оксидаза, строение функционирование. Регуляция.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Роль </w:t>
      </w:r>
      <w:r w:rsidR="007B2BCA" w:rsidRPr="00B660F1">
        <w:rPr>
          <w:rFonts w:eastAsia="Times New Roman" w:cs="Times New Roman"/>
          <w:color w:val="343A40"/>
          <w:sz w:val="28"/>
          <w:szCs w:val="28"/>
          <w:lang w:val="en-US" w:eastAsia="ru-RU"/>
        </w:rPr>
        <w:t>Hip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-1.</w:t>
      </w:r>
      <w:r w:rsidR="007B2BCA" w:rsidRPr="00B660F1">
        <w:rPr>
          <w:rFonts w:eastAsia="Times New Roman" w:cs="Times New Roman"/>
          <w:color w:val="343A40"/>
          <w:sz w:val="28"/>
          <w:szCs w:val="28"/>
          <w:lang w:val="en-US" w:eastAsia="ru-RU"/>
        </w:rPr>
        <w:t xml:space="preserve">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Другие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кислородзависимые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биохимические процессы.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Гипоксия и ишемия как универсальные патогенетические реакции. Особенности применения терминов.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proofErr w:type="spellStart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Гипоэнергетические</w:t>
      </w:r>
      <w:proofErr w:type="spellEnd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состояния.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Приспособительные к дефициту кислорода механизмы, реализуемые на кл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еточном и организменном уровне. </w:t>
      </w:r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Кислородные сенсоры. </w:t>
      </w:r>
      <w:r w:rsidR="007B2BCA" w:rsidRPr="00B660F1">
        <w:rPr>
          <w:rFonts w:eastAsia="Times New Roman" w:cs="Times New Roman"/>
          <w:color w:val="343A40"/>
          <w:sz w:val="28"/>
          <w:szCs w:val="28"/>
          <w:lang w:val="en-US" w:eastAsia="ru-RU"/>
        </w:rPr>
        <w:t>Hip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-1 и продукция </w:t>
      </w:r>
      <w:proofErr w:type="spellStart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эритропоэтина</w:t>
      </w:r>
      <w:proofErr w:type="spellEnd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Экспериментальные модели гипоксии и ишемии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Понятие об аэробной и анаэробной работе. Биохимические основы тренированности. </w:t>
      </w:r>
      <w:proofErr w:type="spellStart"/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Лактат</w:t>
      </w:r>
      <w:proofErr w:type="spellEnd"/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метаболизм при физической работе и регуляция метаболизма.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Механизмы повреждения клеточных структур при гипоксии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АФК и </w:t>
      </w:r>
      <w:proofErr w:type="spellStart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ксантиноксидаза</w:t>
      </w:r>
      <w:proofErr w:type="spellEnd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Ишемия причины, медицинское значение. Понятие о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реперфузионных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повреждениях.</w:t>
      </w:r>
    </w:p>
    <w:p w:rsidR="005B30A6" w:rsidRPr="00B660F1" w:rsidRDefault="005B30A6" w:rsidP="005B30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Молекулярные мишени фармакологического воздействия с целью уменьшения ишемических повреждений.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Острое воспаление. Фазы воспалительной реакции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Основные механизмы регуляции воспаления.</w:t>
      </w:r>
      <w:r w:rsidR="00803E1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Медиаторы воспаления.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Про и противовоспалительные цитокины.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Клетки, участвующие в воспалительной реакции. </w:t>
      </w:r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Образование </w:t>
      </w:r>
      <w:proofErr w:type="spellStart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инфламосом</w:t>
      </w:r>
      <w:proofErr w:type="spellEnd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Молекулярные механизмы </w:t>
      </w:r>
      <w:proofErr w:type="spellStart"/>
      <w:r w:rsidR="00803E10"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ролинга</w:t>
      </w:r>
      <w:proofErr w:type="spellEnd"/>
      <w:r w:rsidR="00803E1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адгезии и миграции клеток. </w:t>
      </w:r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Молекулярные механизмы </w:t>
      </w:r>
      <w:proofErr w:type="spellStart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пираптоза</w:t>
      </w:r>
      <w:proofErr w:type="spellEnd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Особенности альтерации при действии различных повреждающих факторов</w:t>
      </w:r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</w:p>
    <w:p w:rsidR="008A07E4" w:rsidRPr="00B660F1" w:rsidRDefault="008A07E4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Источники и механизмы образования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эйкозаноидов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брадикинина</w:t>
      </w:r>
      <w:proofErr w:type="spellEnd"/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Экссудация. Молекулярная биология эндотелиальных изменений. Регуляция экссудации.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Пролиферация. Клетки-участники. Регуляция пролиферации.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SIRS, сепсис, системный воспалительный ответ. Понятие об эндотоксине. Молекулярная биология ответа на ЛПС-токсин.</w:t>
      </w:r>
      <w:r w:rsidR="00803E1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Значение </w:t>
      </w:r>
      <w:r w:rsidR="00803E10" w:rsidRPr="00B660F1">
        <w:rPr>
          <w:rFonts w:cs="Times New Roman"/>
          <w:color w:val="202122"/>
          <w:sz w:val="28"/>
          <w:szCs w:val="28"/>
          <w:shd w:val="clear" w:color="auto" w:fill="FFFFFF"/>
        </w:rPr>
        <w:t>CD14/TLR4/MD2 комплекс</w:t>
      </w:r>
      <w:r w:rsidR="007B2BCA" w:rsidRPr="00B660F1">
        <w:rPr>
          <w:rFonts w:cs="Times New Roman"/>
          <w:color w:val="202122"/>
          <w:sz w:val="28"/>
          <w:szCs w:val="28"/>
          <w:shd w:val="clear" w:color="auto" w:fill="FFFFFF"/>
        </w:rPr>
        <w:t xml:space="preserve">. Образование </w:t>
      </w:r>
      <w:r w:rsidR="007B2BCA" w:rsidRPr="00B660F1">
        <w:rPr>
          <w:rFonts w:cs="Times New Roman"/>
          <w:color w:val="202122"/>
          <w:sz w:val="28"/>
          <w:szCs w:val="28"/>
          <w:shd w:val="clear" w:color="auto" w:fill="FFFFFF"/>
          <w:lang w:val="en-US"/>
        </w:rPr>
        <w:t>NET.</w:t>
      </w:r>
    </w:p>
    <w:p w:rsidR="005B30A6" w:rsidRPr="00B660F1" w:rsidRDefault="005B30A6" w:rsidP="00B660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Особенности хронического вялотекущего воспаления. Воспаление </w:t>
      </w:r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пр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 атеросклероз</w:t>
      </w:r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е и диабете. Роль </w:t>
      </w:r>
      <w:proofErr w:type="spellStart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инфламмасомы</w:t>
      </w:r>
      <w:proofErr w:type="spellEnd"/>
      <w:r w:rsidR="007D7117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NLRP3</w:t>
      </w:r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каспазы-1 и GSDMD в </w:t>
      </w:r>
      <w:proofErr w:type="spellStart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пироптозе</w:t>
      </w:r>
      <w:proofErr w:type="spellEnd"/>
      <w:r w:rsidR="007B2BCA"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Механизмы, приводящие к напряжению эндоплазматического </w:t>
      </w:r>
      <w:proofErr w:type="spellStart"/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ретикулума</w:t>
      </w:r>
      <w:proofErr w:type="spellEnd"/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и нарушению укладки белков</w:t>
      </w:r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UPR (</w:t>
      </w:r>
      <w:proofErr w:type="spellStart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>Unfolded</w:t>
      </w:r>
      <w:proofErr w:type="spellEnd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proofErr w:type="spellStart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>protein</w:t>
      </w:r>
      <w:proofErr w:type="spellEnd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proofErr w:type="spellStart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>response</w:t>
      </w:r>
      <w:proofErr w:type="spellEnd"/>
      <w:r w:rsidR="00B660F1" w:rsidRPr="00B660F1">
        <w:rPr>
          <w:rFonts w:eastAsia="Times New Roman" w:cs="Times New Roman"/>
          <w:color w:val="343A40"/>
          <w:sz w:val="28"/>
          <w:szCs w:val="28"/>
          <w:lang w:eastAsia="ru-RU"/>
        </w:rPr>
        <w:t>)</w:t>
      </w:r>
      <w:r w:rsidR="00557730"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Боль: общие сведения, биологическое значение. Боль: важный элемент гомеостаза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lastRenderedPageBreak/>
        <w:t>Ноцицептивная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система. Рецепция боли в разных органах. Боль при воспалении.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Афферентные пути передачи болевого импульса. Понятие об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антиноцицептивной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системе.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Генерация болевого импульса</w:t>
      </w:r>
      <w:r w:rsidR="00803E10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  <w:r w:rsidR="008A07E4" w:rsidRPr="00B660F1">
        <w:rPr>
          <w:rFonts w:eastAsia="Times New Roman" w:cs="Times New Roman"/>
          <w:color w:val="343A40"/>
          <w:sz w:val="28"/>
          <w:szCs w:val="28"/>
          <w:lang w:val="en-US" w:eastAsia="ru-RU"/>
        </w:rPr>
        <w:t>TRP</w:t>
      </w:r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семейство ионных каналов. Влияние на </w:t>
      </w:r>
      <w:proofErr w:type="spellStart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ноцицепторы</w:t>
      </w:r>
      <w:proofErr w:type="spellEnd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proofErr w:type="spellStart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>брадикинина</w:t>
      </w:r>
      <w:proofErr w:type="spellEnd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и </w:t>
      </w:r>
      <w:proofErr w:type="spellStart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эйкозаноидов</w:t>
      </w:r>
      <w:proofErr w:type="spellEnd"/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Нейротрансмиттеры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, участвующие в передаче нервных импульсо</w:t>
      </w:r>
      <w:r w:rsidR="006056CE">
        <w:rPr>
          <w:rFonts w:eastAsia="Times New Roman" w:cs="Times New Roman"/>
          <w:color w:val="343A40"/>
          <w:sz w:val="28"/>
          <w:szCs w:val="28"/>
          <w:lang w:eastAsia="ru-RU"/>
        </w:rPr>
        <w:t>в. Биохимия нервного импульса. Г</w:t>
      </w:r>
      <w:bookmarkStart w:id="0" w:name="_GoBack"/>
      <w:bookmarkEnd w:id="0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енерация мембранных потенциалов.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Ионнофорные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рецепторы. Понятие о пороговом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плтенциале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тормозный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постсинаптический потенциал. Строение Н-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холинорецептора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NMDA-рецептора,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ГАМКа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-рецептора, другие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ионнофорные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рецепторы.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Метаботропные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рецепторы и их эффекты на клеточном уровне</w:t>
      </w:r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</w:t>
      </w:r>
      <w:r w:rsidR="007975C3">
        <w:rPr>
          <w:rFonts w:eastAsia="Times New Roman" w:cs="Times New Roman"/>
          <w:color w:val="343A40"/>
          <w:sz w:val="28"/>
          <w:szCs w:val="28"/>
          <w:lang w:val="en-US" w:eastAsia="ru-RU"/>
        </w:rPr>
        <w:t>G</w:t>
      </w:r>
      <w:r w:rsidR="007975C3" w:rsidRPr="007975C3">
        <w:rPr>
          <w:rFonts w:eastAsia="Times New Roman" w:cs="Times New Roman"/>
          <w:color w:val="343A40"/>
          <w:sz w:val="28"/>
          <w:szCs w:val="28"/>
          <w:lang w:eastAsia="ru-RU"/>
        </w:rPr>
        <w:t>-</w:t>
      </w:r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белки, </w:t>
      </w:r>
      <w:proofErr w:type="spellStart"/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>киназные</w:t>
      </w:r>
      <w:proofErr w:type="spellEnd"/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каскады, </w:t>
      </w:r>
      <w:proofErr w:type="spellStart"/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>цАМР</w:t>
      </w:r>
      <w:proofErr w:type="spellEnd"/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сигнальный путь. </w:t>
      </w:r>
      <w:r w:rsidR="007975C3">
        <w:rPr>
          <w:rFonts w:eastAsia="Times New Roman" w:cs="Times New Roman"/>
          <w:color w:val="343A40"/>
          <w:sz w:val="28"/>
          <w:szCs w:val="28"/>
          <w:lang w:val="en-US" w:eastAsia="ru-RU"/>
        </w:rPr>
        <w:t>IP3</w:t>
      </w:r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>/</w:t>
      </w:r>
      <w:r w:rsidR="007975C3">
        <w:rPr>
          <w:rFonts w:eastAsia="Times New Roman" w:cs="Times New Roman"/>
          <w:color w:val="343A40"/>
          <w:sz w:val="28"/>
          <w:szCs w:val="28"/>
          <w:lang w:val="en-US" w:eastAsia="ru-RU"/>
        </w:rPr>
        <w:t xml:space="preserve">DAG </w:t>
      </w:r>
      <w:r w:rsidR="007975C3">
        <w:rPr>
          <w:rFonts w:eastAsia="Times New Roman" w:cs="Times New Roman"/>
          <w:color w:val="343A40"/>
          <w:sz w:val="28"/>
          <w:szCs w:val="28"/>
          <w:lang w:eastAsia="ru-RU"/>
        </w:rPr>
        <w:t>сигнальный путь.</w:t>
      </w:r>
    </w:p>
    <w:p w:rsidR="005B30A6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Пептидергическая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система мозга. Субстанция Р и другие пептиды, участвующие в передаче болевых импульсов в ЦНС.</w:t>
      </w:r>
    </w:p>
    <w:p w:rsidR="005B30A6" w:rsidRPr="007975C3" w:rsidRDefault="005B30A6" w:rsidP="0079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>Опиатные рецепторы и их эндогенные стимуляторы.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Методы исследования в современной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рецептологии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График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Шилда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Экспериментальные модели при исследовании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ноцицепции</w:t>
      </w:r>
      <w:proofErr w:type="spellEnd"/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Определение. Основные группы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ксенобиотиков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 Известные случаи отравлений ртутью (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Кумамото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Ирак). Истории с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диоксинами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 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Бхопальская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катастрофа.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Всасывание, распределение и выведение чужеродных веществ из организма. Метаболическая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детоксикация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как повышение гидрофильности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ксенобиотиков</w:t>
      </w:r>
      <w:proofErr w:type="spellEnd"/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Катаболическая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детоксикация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Роль гидролаз 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гидроксилаз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Строение системы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цитохрома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Р450 (CYP).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Гидроксилазный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цикл. Точки продукции ROS при окислении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ксенобиотиков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Суперсемейство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CYP. Генетическая гетерогенность CYP.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Номенклатра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Субстратная и реакционная специфичность.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Индуцибельность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Анаболическая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детоксикация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. Важнейшие эндогенные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коньюгаты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ферменты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коньюгации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и их субклеточная локализация.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P-гликопротеин: общие сведения.</w:t>
      </w:r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Р-гликопротеин: структура. Р-гликопротеин: локализация.</w:t>
      </w:r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P-гликопротеин: функци</w:t>
      </w:r>
      <w:r w:rsidR="008A07E4"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ональная активность. </w:t>
      </w: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Р-гликопротеин: физиологическая роль.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Этиловый алкоголь как ксенобиотик. Всасывание, распределение, метаболизм и выведение из организма. Экспертиза опьянения.</w:t>
      </w:r>
    </w:p>
    <w:p w:rsidR="005B30A6" w:rsidRPr="00B660F1" w:rsidRDefault="005B30A6" w:rsidP="007B2B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Метаболизм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изониазида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ацетаминофена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и </w:t>
      </w:r>
      <w:proofErr w:type="spellStart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фенобарбитала</w:t>
      </w:r>
      <w:proofErr w:type="spellEnd"/>
      <w:r w:rsidRPr="00B660F1">
        <w:rPr>
          <w:rFonts w:eastAsia="Times New Roman" w:cs="Times New Roman"/>
          <w:color w:val="343A40"/>
          <w:sz w:val="28"/>
          <w:szCs w:val="28"/>
          <w:lang w:eastAsia="ru-RU"/>
        </w:rPr>
        <w:t>. </w:t>
      </w:r>
    </w:p>
    <w:p w:rsidR="008A07E4" w:rsidRPr="00B660F1" w:rsidRDefault="005B30A6" w:rsidP="007B2BCA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Молекулярная биология: хромосомы и гены</w:t>
      </w:r>
      <w:r w:rsidR="008A07E4" w:rsidRPr="00B660F1">
        <w:rPr>
          <w:color w:val="343A40"/>
          <w:sz w:val="28"/>
          <w:szCs w:val="28"/>
        </w:rPr>
        <w:t xml:space="preserve">. Значение в развитии болезней. </w:t>
      </w:r>
    </w:p>
    <w:p w:rsidR="005B30A6" w:rsidRDefault="005B30A6" w:rsidP="007B2BCA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Биология и функциональная анатомия клетки</w:t>
      </w:r>
      <w:r w:rsidR="008A07E4" w:rsidRPr="00B660F1">
        <w:rPr>
          <w:color w:val="343A40"/>
          <w:sz w:val="28"/>
          <w:szCs w:val="28"/>
        </w:rPr>
        <w:t xml:space="preserve">. </w:t>
      </w:r>
      <w:r w:rsidRPr="00B660F1">
        <w:rPr>
          <w:color w:val="343A40"/>
          <w:sz w:val="28"/>
          <w:szCs w:val="28"/>
        </w:rPr>
        <w:t xml:space="preserve">Клеточная мембрана, </w:t>
      </w:r>
      <w:proofErr w:type="spellStart"/>
      <w:r w:rsidRPr="00B660F1">
        <w:rPr>
          <w:color w:val="343A40"/>
          <w:sz w:val="28"/>
          <w:szCs w:val="28"/>
        </w:rPr>
        <w:t>Рафты</w:t>
      </w:r>
      <w:proofErr w:type="spellEnd"/>
      <w:r w:rsidRPr="00B660F1">
        <w:rPr>
          <w:color w:val="343A40"/>
          <w:sz w:val="28"/>
          <w:szCs w:val="28"/>
        </w:rPr>
        <w:t xml:space="preserve">, </w:t>
      </w:r>
      <w:proofErr w:type="spellStart"/>
      <w:r w:rsidRPr="00B660F1">
        <w:rPr>
          <w:color w:val="343A40"/>
          <w:sz w:val="28"/>
          <w:szCs w:val="28"/>
        </w:rPr>
        <w:t>Цитоскелет</w:t>
      </w:r>
      <w:proofErr w:type="spellEnd"/>
      <w:r w:rsidRPr="00B660F1">
        <w:rPr>
          <w:color w:val="343A40"/>
          <w:sz w:val="28"/>
          <w:szCs w:val="28"/>
        </w:rPr>
        <w:t>.</w:t>
      </w:r>
      <w:r w:rsidR="008A07E4" w:rsidRPr="00B660F1">
        <w:rPr>
          <w:color w:val="343A40"/>
          <w:sz w:val="28"/>
          <w:szCs w:val="28"/>
        </w:rPr>
        <w:t xml:space="preserve"> </w:t>
      </w:r>
      <w:r w:rsidRPr="00B660F1">
        <w:rPr>
          <w:color w:val="343A40"/>
          <w:sz w:val="28"/>
          <w:szCs w:val="28"/>
        </w:rPr>
        <w:t xml:space="preserve">Транспорт, </w:t>
      </w:r>
      <w:proofErr w:type="spellStart"/>
      <w:r w:rsidRPr="00B660F1">
        <w:rPr>
          <w:color w:val="343A40"/>
          <w:sz w:val="28"/>
          <w:szCs w:val="28"/>
        </w:rPr>
        <w:t>эндоцитоз</w:t>
      </w:r>
      <w:proofErr w:type="spellEnd"/>
      <w:r w:rsidRPr="00B660F1">
        <w:rPr>
          <w:color w:val="343A40"/>
          <w:sz w:val="28"/>
          <w:szCs w:val="28"/>
        </w:rPr>
        <w:t xml:space="preserve">, </w:t>
      </w:r>
      <w:proofErr w:type="spellStart"/>
      <w:r w:rsidRPr="00B660F1">
        <w:rPr>
          <w:color w:val="343A40"/>
          <w:sz w:val="28"/>
          <w:szCs w:val="28"/>
        </w:rPr>
        <w:t>экзоцитоз</w:t>
      </w:r>
      <w:proofErr w:type="spellEnd"/>
      <w:r w:rsidRPr="00B660F1">
        <w:rPr>
          <w:color w:val="343A40"/>
          <w:sz w:val="28"/>
          <w:szCs w:val="28"/>
        </w:rPr>
        <w:t>,</w:t>
      </w:r>
      <w:r w:rsidR="008A07E4" w:rsidRPr="00B660F1">
        <w:rPr>
          <w:color w:val="343A40"/>
          <w:sz w:val="28"/>
          <w:szCs w:val="28"/>
        </w:rPr>
        <w:t xml:space="preserve"> </w:t>
      </w:r>
      <w:r w:rsidRPr="00B660F1">
        <w:rPr>
          <w:color w:val="343A40"/>
          <w:sz w:val="28"/>
          <w:szCs w:val="28"/>
        </w:rPr>
        <w:t>гормон чувствительные элементы ДНК.</w:t>
      </w:r>
    </w:p>
    <w:p w:rsidR="007975C3" w:rsidRPr="007975C3" w:rsidRDefault="007975C3" w:rsidP="007975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left"/>
        <w:rPr>
          <w:rFonts w:eastAsia="Times New Roman" w:cs="Times New Roman"/>
          <w:color w:val="343A40"/>
          <w:sz w:val="28"/>
          <w:szCs w:val="28"/>
          <w:lang w:eastAsia="ru-RU"/>
        </w:rPr>
      </w:pPr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lastRenderedPageBreak/>
        <w:t>Внутриклеточные механизмы усиления сигнала. PI3K/AKT/</w:t>
      </w:r>
      <w:proofErr w:type="spellStart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>mTOR</w:t>
      </w:r>
      <w:proofErr w:type="spellEnd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 сигнальный путь. Канонические пути внутриклеточной сигнализации: </w:t>
      </w:r>
      <w:proofErr w:type="spellStart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>Wnt</w:t>
      </w:r>
      <w:proofErr w:type="spellEnd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 xml:space="preserve">, MAPK/ERK и </w:t>
      </w:r>
      <w:proofErr w:type="spellStart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>Tgf</w:t>
      </w:r>
      <w:proofErr w:type="spellEnd"/>
      <w:r w:rsidRPr="007975C3">
        <w:rPr>
          <w:rFonts w:eastAsia="Times New Roman" w:cs="Times New Roman"/>
          <w:color w:val="343A40"/>
          <w:sz w:val="28"/>
          <w:szCs w:val="28"/>
          <w:lang w:eastAsia="ru-RU"/>
        </w:rPr>
        <w:t>β</w:t>
      </w:r>
      <w:r>
        <w:rPr>
          <w:rFonts w:eastAsia="Times New Roman" w:cs="Times New Roman"/>
          <w:color w:val="343A40"/>
          <w:sz w:val="28"/>
          <w:szCs w:val="28"/>
          <w:lang w:eastAsia="ru-RU"/>
        </w:rPr>
        <w:t>.</w:t>
      </w:r>
    </w:p>
    <w:p w:rsidR="002924FB" w:rsidRPr="00B660F1" w:rsidRDefault="005B30A6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Жизнь и смерть клетки.</w:t>
      </w:r>
      <w:r w:rsidR="002924FB" w:rsidRPr="00B660F1">
        <w:rPr>
          <w:color w:val="343A40"/>
          <w:sz w:val="28"/>
          <w:szCs w:val="28"/>
        </w:rPr>
        <w:t xml:space="preserve"> </w:t>
      </w:r>
      <w:r w:rsidRPr="00B660F1">
        <w:rPr>
          <w:color w:val="343A40"/>
          <w:sz w:val="28"/>
          <w:szCs w:val="28"/>
        </w:rPr>
        <w:t xml:space="preserve">Понятие «старение». </w:t>
      </w:r>
      <w:r w:rsidR="002924FB" w:rsidRPr="00B660F1">
        <w:rPr>
          <w:color w:val="343A40"/>
          <w:sz w:val="28"/>
          <w:szCs w:val="28"/>
        </w:rPr>
        <w:t xml:space="preserve">Гибель клеток, </w:t>
      </w:r>
      <w:proofErr w:type="spellStart"/>
      <w:r w:rsidR="002924FB" w:rsidRPr="00B660F1">
        <w:rPr>
          <w:color w:val="343A40"/>
          <w:sz w:val="28"/>
          <w:szCs w:val="28"/>
        </w:rPr>
        <w:t>апоптоз</w:t>
      </w:r>
      <w:proofErr w:type="spellEnd"/>
      <w:r w:rsidR="002924FB" w:rsidRPr="00B660F1">
        <w:rPr>
          <w:color w:val="343A40"/>
          <w:sz w:val="28"/>
          <w:szCs w:val="28"/>
        </w:rPr>
        <w:t xml:space="preserve">, некроз, </w:t>
      </w:r>
      <w:proofErr w:type="spellStart"/>
      <w:r w:rsidR="002924FB" w:rsidRPr="00B660F1">
        <w:rPr>
          <w:color w:val="343A40"/>
          <w:sz w:val="28"/>
          <w:szCs w:val="28"/>
        </w:rPr>
        <w:t>аутофагия</w:t>
      </w:r>
      <w:proofErr w:type="spellEnd"/>
      <w:r w:rsidR="002924FB" w:rsidRPr="00B660F1">
        <w:rPr>
          <w:color w:val="343A40"/>
          <w:sz w:val="28"/>
          <w:szCs w:val="28"/>
        </w:rPr>
        <w:t xml:space="preserve">, </w:t>
      </w:r>
      <w:proofErr w:type="spellStart"/>
      <w:r w:rsidR="00B660F1">
        <w:rPr>
          <w:color w:val="343A40"/>
          <w:sz w:val="28"/>
          <w:szCs w:val="28"/>
        </w:rPr>
        <w:t>пироптоз</w:t>
      </w:r>
      <w:proofErr w:type="spellEnd"/>
      <w:r w:rsidR="00B660F1">
        <w:rPr>
          <w:color w:val="343A40"/>
          <w:sz w:val="28"/>
          <w:szCs w:val="28"/>
        </w:rPr>
        <w:t xml:space="preserve"> </w:t>
      </w:r>
      <w:r w:rsidR="002924FB" w:rsidRPr="00B660F1">
        <w:rPr>
          <w:color w:val="343A40"/>
          <w:sz w:val="28"/>
          <w:szCs w:val="28"/>
        </w:rPr>
        <w:t xml:space="preserve">сравнительные признаки, проявление в патологических условиях. Опосредованный "рецепторами смерти" и </w:t>
      </w:r>
      <w:proofErr w:type="spellStart"/>
      <w:r w:rsidR="002924FB" w:rsidRPr="00B660F1">
        <w:rPr>
          <w:color w:val="343A40"/>
          <w:sz w:val="28"/>
          <w:szCs w:val="28"/>
        </w:rPr>
        <w:t>митохондриальный</w:t>
      </w:r>
      <w:proofErr w:type="spellEnd"/>
      <w:r w:rsidR="002924FB" w:rsidRPr="00B660F1">
        <w:rPr>
          <w:color w:val="343A40"/>
          <w:sz w:val="28"/>
          <w:szCs w:val="28"/>
        </w:rPr>
        <w:t xml:space="preserve"> пути </w:t>
      </w:r>
      <w:proofErr w:type="spellStart"/>
      <w:r w:rsidR="002924FB" w:rsidRPr="00B660F1">
        <w:rPr>
          <w:color w:val="343A40"/>
          <w:sz w:val="28"/>
          <w:szCs w:val="28"/>
        </w:rPr>
        <w:t>апоптоза</w:t>
      </w:r>
      <w:proofErr w:type="spellEnd"/>
      <w:r w:rsidR="002924FB" w:rsidRPr="00B660F1">
        <w:rPr>
          <w:color w:val="343A40"/>
          <w:sz w:val="28"/>
          <w:szCs w:val="28"/>
        </w:rPr>
        <w:t xml:space="preserve">, белки семейства bcl-2, </w:t>
      </w:r>
      <w:proofErr w:type="spellStart"/>
      <w:r w:rsidR="002924FB" w:rsidRPr="00B660F1">
        <w:rPr>
          <w:color w:val="343A40"/>
          <w:sz w:val="28"/>
          <w:szCs w:val="28"/>
        </w:rPr>
        <w:t>каспазы</w:t>
      </w:r>
      <w:proofErr w:type="spellEnd"/>
      <w:r w:rsidR="002924FB" w:rsidRPr="00B660F1">
        <w:rPr>
          <w:color w:val="343A40"/>
          <w:sz w:val="28"/>
          <w:szCs w:val="28"/>
        </w:rPr>
        <w:t> </w:t>
      </w:r>
    </w:p>
    <w:p w:rsidR="005B30A6" w:rsidRPr="00B660F1" w:rsidRDefault="005B30A6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Кл</w:t>
      </w:r>
      <w:r w:rsidR="002924FB" w:rsidRPr="00B660F1">
        <w:rPr>
          <w:color w:val="343A40"/>
          <w:sz w:val="28"/>
          <w:szCs w:val="28"/>
        </w:rPr>
        <w:t xml:space="preserve">еточный цикл, Стволовые клетки. </w:t>
      </w:r>
      <w:r w:rsidRPr="00B660F1">
        <w:rPr>
          <w:color w:val="343A40"/>
          <w:sz w:val="28"/>
          <w:szCs w:val="28"/>
        </w:rPr>
        <w:t xml:space="preserve">Молекулы-регуляторы клеточного цикла: </w:t>
      </w:r>
      <w:proofErr w:type="spellStart"/>
      <w:r w:rsidRPr="00B660F1">
        <w:rPr>
          <w:color w:val="343A40"/>
          <w:sz w:val="28"/>
          <w:szCs w:val="28"/>
        </w:rPr>
        <w:t>cdk</w:t>
      </w:r>
      <w:proofErr w:type="spellEnd"/>
      <w:r w:rsidRPr="00B660F1">
        <w:rPr>
          <w:color w:val="343A40"/>
          <w:sz w:val="28"/>
          <w:szCs w:val="28"/>
        </w:rPr>
        <w:t xml:space="preserve">, </w:t>
      </w:r>
      <w:proofErr w:type="spellStart"/>
      <w:r w:rsidRPr="00B660F1">
        <w:rPr>
          <w:color w:val="343A40"/>
          <w:sz w:val="28"/>
          <w:szCs w:val="28"/>
        </w:rPr>
        <w:t>циклины</w:t>
      </w:r>
      <w:proofErr w:type="spellEnd"/>
      <w:r w:rsidRPr="00B660F1">
        <w:rPr>
          <w:color w:val="343A40"/>
          <w:sz w:val="28"/>
          <w:szCs w:val="28"/>
        </w:rPr>
        <w:t xml:space="preserve">, белок </w:t>
      </w:r>
      <w:proofErr w:type="spellStart"/>
      <w:r w:rsidRPr="00B660F1">
        <w:rPr>
          <w:color w:val="343A40"/>
          <w:sz w:val="28"/>
          <w:szCs w:val="28"/>
        </w:rPr>
        <w:t>Rb</w:t>
      </w:r>
      <w:proofErr w:type="spellEnd"/>
      <w:r w:rsidRPr="00B660F1">
        <w:rPr>
          <w:color w:val="343A40"/>
          <w:sz w:val="28"/>
          <w:szCs w:val="28"/>
        </w:rPr>
        <w:t xml:space="preserve">, </w:t>
      </w:r>
      <w:proofErr w:type="spellStart"/>
      <w:r w:rsidRPr="00B660F1">
        <w:rPr>
          <w:color w:val="343A40"/>
          <w:sz w:val="28"/>
          <w:szCs w:val="28"/>
        </w:rPr>
        <w:t>онкосупрессоры</w:t>
      </w:r>
      <w:proofErr w:type="spellEnd"/>
      <w:r w:rsidRPr="00B660F1">
        <w:rPr>
          <w:color w:val="343A40"/>
          <w:sz w:val="28"/>
          <w:szCs w:val="28"/>
        </w:rPr>
        <w:t xml:space="preserve">, белок р53, факторы роста, точка рестрикции. </w:t>
      </w:r>
    </w:p>
    <w:p w:rsidR="005B30A6" w:rsidRPr="00B660F1" w:rsidRDefault="005B30A6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Экспрессия генов. От гена к </w:t>
      </w:r>
      <w:proofErr w:type="spellStart"/>
      <w:r w:rsidRPr="00B660F1">
        <w:rPr>
          <w:color w:val="343A40"/>
          <w:sz w:val="28"/>
          <w:szCs w:val="28"/>
        </w:rPr>
        <w:t>нативному</w:t>
      </w:r>
      <w:proofErr w:type="spellEnd"/>
      <w:r w:rsidRPr="00B660F1">
        <w:rPr>
          <w:color w:val="343A40"/>
          <w:sz w:val="28"/>
          <w:szCs w:val="28"/>
        </w:rPr>
        <w:t xml:space="preserve"> белку. </w:t>
      </w:r>
      <w:proofErr w:type="spellStart"/>
      <w:r w:rsidRPr="00B660F1">
        <w:rPr>
          <w:color w:val="343A40"/>
          <w:sz w:val="28"/>
          <w:szCs w:val="28"/>
        </w:rPr>
        <w:t>Протеосомная</w:t>
      </w:r>
      <w:proofErr w:type="spellEnd"/>
      <w:r w:rsidRPr="00B660F1">
        <w:rPr>
          <w:color w:val="343A40"/>
          <w:sz w:val="28"/>
          <w:szCs w:val="28"/>
        </w:rPr>
        <w:t xml:space="preserve"> и </w:t>
      </w:r>
      <w:proofErr w:type="spellStart"/>
      <w:r w:rsidRPr="00B660F1">
        <w:rPr>
          <w:color w:val="343A40"/>
          <w:sz w:val="28"/>
          <w:szCs w:val="28"/>
        </w:rPr>
        <w:t>лизосомная</w:t>
      </w:r>
      <w:proofErr w:type="spellEnd"/>
      <w:r w:rsidRPr="00B660F1">
        <w:rPr>
          <w:color w:val="343A40"/>
          <w:sz w:val="28"/>
          <w:szCs w:val="28"/>
        </w:rPr>
        <w:t xml:space="preserve"> деградация белков.</w:t>
      </w:r>
    </w:p>
    <w:p w:rsidR="005B30A6" w:rsidRPr="00B660F1" w:rsidRDefault="002924F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Молекулярная патофизиология генетические заболевания. </w:t>
      </w:r>
      <w:r w:rsidR="00B660F1" w:rsidRPr="00B660F1">
        <w:rPr>
          <w:color w:val="343A40"/>
          <w:sz w:val="28"/>
          <w:szCs w:val="28"/>
        </w:rPr>
        <w:t xml:space="preserve">Пенетрантность. </w:t>
      </w:r>
      <w:r w:rsidR="005B30A6" w:rsidRPr="00B660F1">
        <w:rPr>
          <w:color w:val="343A40"/>
          <w:sz w:val="28"/>
          <w:szCs w:val="28"/>
        </w:rPr>
        <w:t xml:space="preserve">Генетические варианты — </w:t>
      </w:r>
      <w:r w:rsidR="00B660F1" w:rsidRPr="00B660F1">
        <w:rPr>
          <w:color w:val="343A40"/>
          <w:sz w:val="28"/>
          <w:szCs w:val="28"/>
        </w:rPr>
        <w:t>полиморфизм, Мутации</w:t>
      </w:r>
      <w:r w:rsidR="005B30A6" w:rsidRPr="00B660F1">
        <w:rPr>
          <w:color w:val="343A40"/>
          <w:sz w:val="28"/>
          <w:szCs w:val="28"/>
        </w:rPr>
        <w:t>.</w:t>
      </w:r>
      <w:r w:rsidRPr="00B660F1">
        <w:rPr>
          <w:color w:val="343A40"/>
          <w:sz w:val="28"/>
          <w:szCs w:val="28"/>
        </w:rPr>
        <w:t xml:space="preserve">  </w:t>
      </w:r>
      <w:r w:rsidR="005B30A6" w:rsidRPr="00B660F1">
        <w:rPr>
          <w:color w:val="343A40"/>
          <w:sz w:val="28"/>
          <w:szCs w:val="28"/>
        </w:rPr>
        <w:t xml:space="preserve">Репарация ДНК и ее нарушения. Точечные мутации, Вставки, </w:t>
      </w:r>
      <w:proofErr w:type="spellStart"/>
      <w:r w:rsidR="005B30A6" w:rsidRPr="00B660F1">
        <w:rPr>
          <w:color w:val="343A40"/>
          <w:sz w:val="28"/>
          <w:szCs w:val="28"/>
        </w:rPr>
        <w:t>делеции</w:t>
      </w:r>
      <w:proofErr w:type="spellEnd"/>
      <w:r w:rsidR="005B30A6" w:rsidRPr="00B660F1">
        <w:rPr>
          <w:color w:val="343A40"/>
          <w:sz w:val="28"/>
          <w:szCs w:val="28"/>
        </w:rPr>
        <w:t>, дупликации.</w:t>
      </w:r>
      <w:r w:rsidRPr="00B660F1">
        <w:rPr>
          <w:color w:val="343A40"/>
          <w:sz w:val="28"/>
          <w:szCs w:val="28"/>
        </w:rPr>
        <w:t xml:space="preserve"> </w:t>
      </w:r>
      <w:r w:rsidR="005B30A6" w:rsidRPr="00B660F1">
        <w:rPr>
          <w:color w:val="343A40"/>
          <w:sz w:val="28"/>
          <w:szCs w:val="28"/>
        </w:rPr>
        <w:t>Хромосомные аномалии</w:t>
      </w:r>
    </w:p>
    <w:p w:rsidR="005B30A6" w:rsidRPr="00B660F1" w:rsidRDefault="002924F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Онкогенез. Роль факторов роста в трансформации нормальных клеток в опухолевые</w:t>
      </w:r>
    </w:p>
    <w:p w:rsidR="005B30A6" w:rsidRPr="00B660F1" w:rsidRDefault="002924F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Методы исследования при генетических заболеваниях.  </w:t>
      </w:r>
      <w:r w:rsidR="005B30A6" w:rsidRPr="00B660F1">
        <w:rPr>
          <w:color w:val="343A40"/>
          <w:sz w:val="28"/>
          <w:szCs w:val="28"/>
        </w:rPr>
        <w:t>Выявление хромосомных аномалий</w:t>
      </w:r>
      <w:r w:rsidRPr="00B660F1">
        <w:rPr>
          <w:color w:val="343A40"/>
          <w:sz w:val="28"/>
          <w:szCs w:val="28"/>
        </w:rPr>
        <w:t xml:space="preserve">.  </w:t>
      </w:r>
      <w:r w:rsidR="005B30A6" w:rsidRPr="00B660F1">
        <w:rPr>
          <w:color w:val="343A40"/>
          <w:sz w:val="28"/>
          <w:szCs w:val="28"/>
        </w:rPr>
        <w:t>Выявление связи с определенными генами</w:t>
      </w:r>
      <w:r w:rsidRPr="00B660F1">
        <w:rPr>
          <w:color w:val="343A40"/>
          <w:sz w:val="28"/>
          <w:szCs w:val="28"/>
        </w:rPr>
        <w:t xml:space="preserve">.  </w:t>
      </w:r>
      <w:r w:rsidR="005B30A6" w:rsidRPr="00B660F1">
        <w:rPr>
          <w:color w:val="343A40"/>
          <w:sz w:val="28"/>
          <w:szCs w:val="28"/>
        </w:rPr>
        <w:t>Исследование ДНК с помощью определения последовательностей нуклеотидов («</w:t>
      </w:r>
      <w:proofErr w:type="spellStart"/>
      <w:r w:rsidR="005B30A6" w:rsidRPr="00B660F1">
        <w:rPr>
          <w:color w:val="343A40"/>
          <w:sz w:val="28"/>
          <w:szCs w:val="28"/>
        </w:rPr>
        <w:t>секвенирование</w:t>
      </w:r>
      <w:proofErr w:type="spellEnd"/>
      <w:r w:rsidR="005B30A6" w:rsidRPr="00B660F1">
        <w:rPr>
          <w:color w:val="343A40"/>
          <w:sz w:val="28"/>
          <w:szCs w:val="28"/>
        </w:rPr>
        <w:t>»)</w:t>
      </w:r>
    </w:p>
    <w:p w:rsidR="005B30A6" w:rsidRPr="00B660F1" w:rsidRDefault="002924F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Моногенные и хромосомные заболевания. Биотехнологии в диагностике и лечении</w:t>
      </w:r>
      <w:r w:rsidR="005B30A6" w:rsidRPr="00B660F1">
        <w:rPr>
          <w:color w:val="343A40"/>
          <w:sz w:val="28"/>
          <w:szCs w:val="28"/>
        </w:rPr>
        <w:t>.</w:t>
      </w:r>
    </w:p>
    <w:p w:rsidR="0055076A" w:rsidRPr="00B660F1" w:rsidRDefault="0055076A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Моделирование патологических процессов. </w:t>
      </w:r>
      <w:proofErr w:type="spellStart"/>
      <w:r w:rsidRPr="00B660F1">
        <w:rPr>
          <w:color w:val="343A40"/>
          <w:sz w:val="28"/>
          <w:szCs w:val="28"/>
        </w:rPr>
        <w:t>Трансгенные</w:t>
      </w:r>
      <w:proofErr w:type="spellEnd"/>
      <w:r w:rsidRPr="00B660F1">
        <w:rPr>
          <w:color w:val="343A40"/>
          <w:sz w:val="28"/>
          <w:szCs w:val="28"/>
        </w:rPr>
        <w:t xml:space="preserve"> биологические объекты. Варианты </w:t>
      </w:r>
      <w:proofErr w:type="spellStart"/>
      <w:r w:rsidRPr="00B660F1">
        <w:rPr>
          <w:color w:val="343A40"/>
          <w:sz w:val="28"/>
          <w:szCs w:val="28"/>
        </w:rPr>
        <w:t>knockout</w:t>
      </w:r>
      <w:proofErr w:type="spellEnd"/>
      <w:r w:rsidRPr="00B660F1">
        <w:rPr>
          <w:color w:val="343A40"/>
          <w:sz w:val="28"/>
          <w:szCs w:val="28"/>
        </w:rPr>
        <w:t xml:space="preserve"> отдельных клеток и животных.</w:t>
      </w:r>
    </w:p>
    <w:p w:rsidR="0055076A" w:rsidRPr="00B660F1" w:rsidRDefault="0055076A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Морфогенез регенераторного процесса (Гипертрофия, метаплазия, дистрофия, дисплазия). Роль отключения гена </w:t>
      </w:r>
      <w:r w:rsidRPr="00B660F1">
        <w:rPr>
          <w:color w:val="343A40"/>
          <w:sz w:val="28"/>
          <w:szCs w:val="28"/>
          <w:lang w:val="en-US"/>
        </w:rPr>
        <w:t>P21.</w:t>
      </w:r>
    </w:p>
    <w:p w:rsidR="00230F5B" w:rsidRPr="00B660F1" w:rsidRDefault="00230F5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Характеристики доброкачественных и злокачественных опухолей. Классификация опухолей в зависимости от вида клеток. TNM классификация.</w:t>
      </w:r>
    </w:p>
    <w:p w:rsidR="00230F5B" w:rsidRPr="00B660F1" w:rsidRDefault="00230F5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Морфологические признаки злокачественности. Дифференциация клеток, инвазивный рост, метастазирование. Цитологические критерии злокачественности. Цитологическое исследование шейки матки - ПАП тест.</w:t>
      </w:r>
    </w:p>
    <w:p w:rsidR="00230F5B" w:rsidRPr="00B660F1" w:rsidRDefault="00230F5B" w:rsidP="007975C3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>Общее представление о лейкозах. Классификация лейкозов. Молекулярные механизмы.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normaltextrun"/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Молекулярные основы канцерогенеза. Клеточный цикл и его регуляция.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Циклины</w:t>
      </w:r>
      <w:proofErr w:type="spellEnd"/>
      <w:r w:rsidRPr="00B660F1">
        <w:rPr>
          <w:rStyle w:val="normaltextrun"/>
          <w:color w:val="343A40"/>
          <w:sz w:val="28"/>
          <w:szCs w:val="28"/>
        </w:rPr>
        <w:t xml:space="preserve">. ЦДК. Стволовые клетки.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Апоптоз</w:t>
      </w:r>
      <w:proofErr w:type="spellEnd"/>
      <w:r w:rsidRPr="00B660F1">
        <w:rPr>
          <w:rStyle w:val="normaltextrun"/>
          <w:color w:val="343A40"/>
          <w:sz w:val="28"/>
          <w:szCs w:val="28"/>
        </w:rPr>
        <w:t>.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normaltextrun"/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Репарация ДНК и ее нарушения. </w:t>
      </w:r>
      <w:r w:rsidRPr="00B660F1">
        <w:rPr>
          <w:rStyle w:val="normaltextrun"/>
          <w:color w:val="343A40"/>
          <w:sz w:val="28"/>
          <w:szCs w:val="28"/>
        </w:rPr>
        <w:t xml:space="preserve">Точечные мутации. Вставки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делеции</w:t>
      </w:r>
      <w:proofErr w:type="spellEnd"/>
      <w:r w:rsidRPr="00B660F1">
        <w:rPr>
          <w:rStyle w:val="normaltextrun"/>
          <w:color w:val="343A40"/>
          <w:sz w:val="28"/>
          <w:szCs w:val="28"/>
        </w:rPr>
        <w:t>. Дупликации. Хромосомные аномалии. Роль в онкогенезе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spellingerror"/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Онкогены.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Протоонкогены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и вирусные онкогены. Вирусный канцерогенез. ДНК-содержащие и </w:t>
      </w:r>
      <w:proofErr w:type="gramStart"/>
      <w:r w:rsidRPr="00B660F1">
        <w:rPr>
          <w:rStyle w:val="textrun"/>
          <w:rFonts w:eastAsia="SimSun"/>
          <w:color w:val="343A40"/>
          <w:sz w:val="28"/>
          <w:szCs w:val="28"/>
        </w:rPr>
        <w:t>РНК-содержащие онкогенные вирусы</w:t>
      </w:r>
      <w:proofErr w:type="gram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и механизм вирусной трансформации нормальных клеток в </w:t>
      </w:r>
      <w:r w:rsidRPr="00B660F1">
        <w:rPr>
          <w:rStyle w:val="textrun"/>
          <w:rFonts w:eastAsia="SimSun"/>
          <w:color w:val="343A40"/>
          <w:sz w:val="28"/>
          <w:szCs w:val="28"/>
        </w:rPr>
        <w:lastRenderedPageBreak/>
        <w:t xml:space="preserve">опухолевые. Вирусная трансформация и клеточный цикл. Онкогенез под действием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форболового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эфира</w:t>
      </w:r>
      <w:r w:rsidRPr="00B660F1">
        <w:rPr>
          <w:rStyle w:val="spellingerror"/>
          <w:color w:val="343A40"/>
          <w:sz w:val="28"/>
          <w:szCs w:val="28"/>
        </w:rPr>
        <w:t xml:space="preserve"> 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normaltextrun"/>
          <w:color w:val="343A40"/>
          <w:sz w:val="28"/>
          <w:szCs w:val="28"/>
        </w:rPr>
      </w:pPr>
      <w:r w:rsidRPr="00B660F1">
        <w:rPr>
          <w:rStyle w:val="spellingerror"/>
          <w:color w:val="343A40"/>
          <w:sz w:val="28"/>
          <w:szCs w:val="28"/>
        </w:rPr>
        <w:t xml:space="preserve">Гены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супрессоры</w:t>
      </w:r>
      <w:proofErr w:type="spellEnd"/>
      <w:r w:rsidRPr="00B660F1">
        <w:rPr>
          <w:rStyle w:val="normaltextrun"/>
          <w:color w:val="343A40"/>
          <w:sz w:val="28"/>
          <w:szCs w:val="28"/>
        </w:rPr>
        <w:t xml:space="preserve"> </w:t>
      </w:r>
      <w:r w:rsidRPr="00B660F1">
        <w:rPr>
          <w:rStyle w:val="spellingerror"/>
          <w:color w:val="343A40"/>
          <w:sz w:val="28"/>
          <w:szCs w:val="28"/>
        </w:rPr>
        <w:t>опухолевого роста</w:t>
      </w:r>
      <w:r w:rsidRPr="00B660F1">
        <w:rPr>
          <w:rStyle w:val="normaltextrun"/>
          <w:color w:val="343A40"/>
          <w:sz w:val="28"/>
          <w:szCs w:val="28"/>
        </w:rPr>
        <w:t xml:space="preserve">. Гипотетические модели молекулярных механизмов активации белка </w:t>
      </w:r>
      <w:r w:rsidRPr="00B660F1">
        <w:rPr>
          <w:rStyle w:val="normaltextrun"/>
          <w:color w:val="343A40"/>
          <w:sz w:val="28"/>
          <w:szCs w:val="28"/>
          <w:lang w:val="en-US"/>
        </w:rPr>
        <w:t>p</w:t>
      </w:r>
      <w:r w:rsidRPr="00B660F1">
        <w:rPr>
          <w:rStyle w:val="normaltextrun"/>
          <w:color w:val="343A40"/>
          <w:sz w:val="28"/>
          <w:szCs w:val="28"/>
        </w:rPr>
        <w:t>53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textrun"/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>Многостадийный канцерогенез. Питание и метаболизм опухолевых клеток.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color w:val="343A40"/>
          <w:sz w:val="28"/>
          <w:szCs w:val="28"/>
        </w:rPr>
        <w:t xml:space="preserve">Исследование мутагенности </w:t>
      </w:r>
      <w:proofErr w:type="spellStart"/>
      <w:r w:rsidRPr="00B660F1">
        <w:rPr>
          <w:color w:val="343A40"/>
          <w:sz w:val="28"/>
          <w:szCs w:val="28"/>
        </w:rPr>
        <w:t>in</w:t>
      </w:r>
      <w:proofErr w:type="spellEnd"/>
      <w:r w:rsidRPr="00B660F1">
        <w:rPr>
          <w:color w:val="343A40"/>
          <w:sz w:val="28"/>
          <w:szCs w:val="28"/>
        </w:rPr>
        <w:t xml:space="preserve"> </w:t>
      </w:r>
      <w:proofErr w:type="spellStart"/>
      <w:r w:rsidRPr="00B660F1">
        <w:rPr>
          <w:color w:val="343A40"/>
          <w:sz w:val="28"/>
          <w:szCs w:val="28"/>
        </w:rPr>
        <w:t>vitro</w:t>
      </w:r>
      <w:proofErr w:type="spellEnd"/>
      <w:r w:rsidRPr="00B660F1">
        <w:rPr>
          <w:color w:val="343A40"/>
          <w:sz w:val="28"/>
          <w:szCs w:val="28"/>
        </w:rPr>
        <w:t xml:space="preserve"> и </w:t>
      </w:r>
      <w:proofErr w:type="spellStart"/>
      <w:r w:rsidRPr="00B660F1">
        <w:rPr>
          <w:color w:val="343A40"/>
          <w:sz w:val="28"/>
          <w:szCs w:val="28"/>
        </w:rPr>
        <w:t>in</w:t>
      </w:r>
      <w:proofErr w:type="spellEnd"/>
      <w:r w:rsidRPr="00B660F1">
        <w:rPr>
          <w:color w:val="343A40"/>
          <w:sz w:val="28"/>
          <w:szCs w:val="28"/>
        </w:rPr>
        <w:t xml:space="preserve"> </w:t>
      </w:r>
      <w:proofErr w:type="spellStart"/>
      <w:r w:rsidRPr="00B660F1">
        <w:rPr>
          <w:color w:val="343A40"/>
          <w:sz w:val="28"/>
          <w:szCs w:val="28"/>
        </w:rPr>
        <w:t>vivo</w:t>
      </w:r>
      <w:proofErr w:type="spellEnd"/>
      <w:r w:rsidRPr="00B660F1">
        <w:rPr>
          <w:color w:val="343A40"/>
          <w:sz w:val="28"/>
          <w:szCs w:val="28"/>
        </w:rPr>
        <w:t xml:space="preserve">. Тест </w:t>
      </w:r>
      <w:proofErr w:type="spellStart"/>
      <w:r w:rsidRPr="00B660F1">
        <w:rPr>
          <w:color w:val="343A40"/>
          <w:sz w:val="28"/>
          <w:szCs w:val="28"/>
        </w:rPr>
        <w:t>Эймса</w:t>
      </w:r>
      <w:proofErr w:type="spellEnd"/>
      <w:r w:rsidRPr="00B660F1">
        <w:rPr>
          <w:color w:val="343A40"/>
          <w:sz w:val="28"/>
          <w:szCs w:val="28"/>
        </w:rPr>
        <w:t>. Тест комет.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Меланома как пример опухоли. Диагноз. Прогноз. Мишени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таргетной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терапии при меланоме: </w:t>
      </w:r>
      <w:r w:rsidRPr="00B660F1">
        <w:rPr>
          <w:rStyle w:val="normaltextrun"/>
          <w:color w:val="343A40"/>
          <w:sz w:val="28"/>
          <w:szCs w:val="28"/>
        </w:rPr>
        <w:t>Программа лечения меланомы TIL.</w:t>
      </w:r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Иматиниб</w:t>
      </w:r>
      <w:proofErr w:type="spellEnd"/>
      <w:r w:rsidR="002A7517" w:rsidRPr="00B660F1">
        <w:rPr>
          <w:rStyle w:val="spellingerror"/>
          <w:color w:val="343A40"/>
          <w:sz w:val="28"/>
          <w:szCs w:val="28"/>
        </w:rPr>
        <w:t xml:space="preserve"> </w:t>
      </w:r>
      <w:r w:rsidRPr="00B660F1">
        <w:rPr>
          <w:rStyle w:val="normaltextrun"/>
          <w:color w:val="343A40"/>
          <w:sz w:val="28"/>
          <w:szCs w:val="28"/>
        </w:rPr>
        <w:t>(</w:t>
      </w:r>
      <w:proofErr w:type="spellStart"/>
      <w:r w:rsidRPr="00B660F1">
        <w:rPr>
          <w:rStyle w:val="spellingerror"/>
          <w:color w:val="343A40"/>
          <w:sz w:val="28"/>
          <w:szCs w:val="28"/>
        </w:rPr>
        <w:t>Imatinibum</w:t>
      </w:r>
      <w:proofErr w:type="spellEnd"/>
      <w:r w:rsidRPr="00B660F1">
        <w:rPr>
          <w:rStyle w:val="normaltextrun"/>
          <w:color w:val="343A40"/>
          <w:sz w:val="28"/>
          <w:szCs w:val="28"/>
        </w:rPr>
        <w:t>)</w:t>
      </w:r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Дабрафениб</w:t>
      </w:r>
      <w:proofErr w:type="spellEnd"/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r w:rsidRPr="00B660F1">
        <w:rPr>
          <w:rStyle w:val="normaltextrun"/>
          <w:color w:val="343A40"/>
          <w:sz w:val="28"/>
          <w:szCs w:val="28"/>
        </w:rPr>
        <w:t>(</w:t>
      </w:r>
      <w:proofErr w:type="spellStart"/>
      <w:r w:rsidRPr="00B660F1">
        <w:rPr>
          <w:rStyle w:val="spellingerror"/>
          <w:color w:val="343A40"/>
          <w:sz w:val="28"/>
          <w:szCs w:val="28"/>
        </w:rPr>
        <w:t>Dabrafenib</w:t>
      </w:r>
      <w:proofErr w:type="spellEnd"/>
      <w:r w:rsidRPr="00B660F1">
        <w:rPr>
          <w:rStyle w:val="normaltextrun"/>
          <w:color w:val="343A40"/>
          <w:sz w:val="28"/>
          <w:szCs w:val="28"/>
        </w:rPr>
        <w:t>)</w:t>
      </w:r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Ипилимумаб</w:t>
      </w:r>
      <w:proofErr w:type="spellEnd"/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r w:rsidRPr="00B660F1">
        <w:rPr>
          <w:rStyle w:val="normaltextrun"/>
          <w:color w:val="343A40"/>
          <w:sz w:val="28"/>
          <w:szCs w:val="28"/>
        </w:rPr>
        <w:t>(</w:t>
      </w:r>
      <w:proofErr w:type="spellStart"/>
      <w:r w:rsidRPr="00B660F1">
        <w:rPr>
          <w:rStyle w:val="spellingerror"/>
          <w:color w:val="343A40"/>
          <w:sz w:val="28"/>
          <w:szCs w:val="28"/>
        </w:rPr>
        <w:t>Ipilimumab</w:t>
      </w:r>
      <w:proofErr w:type="spellEnd"/>
      <w:r w:rsidRPr="00B660F1">
        <w:rPr>
          <w:rStyle w:val="normaltextrun"/>
          <w:color w:val="343A40"/>
          <w:sz w:val="28"/>
          <w:szCs w:val="28"/>
        </w:rPr>
        <w:t>)</w:t>
      </w:r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proofErr w:type="spellStart"/>
      <w:r w:rsidRPr="00B660F1">
        <w:rPr>
          <w:rStyle w:val="spellingerror"/>
          <w:color w:val="343A40"/>
          <w:sz w:val="28"/>
          <w:szCs w:val="28"/>
        </w:rPr>
        <w:t>Кейтруда</w:t>
      </w:r>
      <w:proofErr w:type="spellEnd"/>
      <w:r w:rsidR="002A7517" w:rsidRPr="00B660F1">
        <w:rPr>
          <w:rStyle w:val="normaltextrun"/>
          <w:color w:val="343A40"/>
          <w:sz w:val="28"/>
          <w:szCs w:val="28"/>
        </w:rPr>
        <w:t xml:space="preserve"> </w:t>
      </w:r>
      <w:r w:rsidRPr="00B660F1">
        <w:rPr>
          <w:rStyle w:val="normaltextrun"/>
          <w:color w:val="343A40"/>
          <w:sz w:val="28"/>
          <w:szCs w:val="28"/>
        </w:rPr>
        <w:t>(</w:t>
      </w:r>
      <w:proofErr w:type="spellStart"/>
      <w:r w:rsidRPr="00B660F1">
        <w:rPr>
          <w:rStyle w:val="spellingerror"/>
          <w:color w:val="343A40"/>
          <w:sz w:val="28"/>
          <w:szCs w:val="28"/>
        </w:rPr>
        <w:t>Keytruda</w:t>
      </w:r>
      <w:proofErr w:type="spellEnd"/>
      <w:r w:rsidRPr="00B660F1">
        <w:rPr>
          <w:rStyle w:val="normaltextrun"/>
          <w:color w:val="343A40"/>
          <w:sz w:val="28"/>
          <w:szCs w:val="28"/>
        </w:rPr>
        <w:t>).</w:t>
      </w:r>
      <w:r w:rsidRPr="00B660F1">
        <w:rPr>
          <w:rStyle w:val="eop"/>
          <w:color w:val="343A40"/>
          <w:sz w:val="28"/>
          <w:szCs w:val="28"/>
        </w:rPr>
        <w:t> </w:t>
      </w:r>
    </w:p>
    <w:p w:rsidR="00230F5B" w:rsidRPr="00B660F1" w:rsidRDefault="00230F5B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rStyle w:val="textrun"/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Современная Лабораторная диагностика в онкологии. Цито и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гистохимия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, </w:t>
      </w:r>
      <w:r w:rsidR="002A7517" w:rsidRPr="00B660F1">
        <w:rPr>
          <w:rStyle w:val="textrun"/>
          <w:rFonts w:eastAsia="SimSun"/>
          <w:color w:val="343A40"/>
          <w:sz w:val="28"/>
          <w:szCs w:val="28"/>
          <w:lang w:val="en-US"/>
        </w:rPr>
        <w:t>FISH</w:t>
      </w:r>
      <w:r w:rsidR="002A7517" w:rsidRPr="00B660F1">
        <w:rPr>
          <w:rStyle w:val="textrun"/>
          <w:rFonts w:eastAsia="SimSun"/>
          <w:color w:val="343A40"/>
          <w:sz w:val="28"/>
          <w:szCs w:val="28"/>
        </w:rPr>
        <w:t xml:space="preserve">. </w:t>
      </w:r>
      <w:proofErr w:type="spellStart"/>
      <w:r w:rsidR="002A7517" w:rsidRPr="00B660F1">
        <w:rPr>
          <w:rStyle w:val="textrun"/>
          <w:rFonts w:eastAsia="SimSun"/>
          <w:color w:val="343A40"/>
          <w:sz w:val="28"/>
          <w:szCs w:val="28"/>
        </w:rPr>
        <w:t>Онкомаркеры</w:t>
      </w:r>
      <w:proofErr w:type="spellEnd"/>
      <w:r w:rsidR="002A7517" w:rsidRPr="00B660F1">
        <w:rPr>
          <w:rStyle w:val="textrun"/>
          <w:rFonts w:eastAsia="SimSun"/>
          <w:color w:val="343A40"/>
          <w:sz w:val="28"/>
          <w:szCs w:val="28"/>
        </w:rPr>
        <w:t>. Жидкостная цитология.</w:t>
      </w:r>
    </w:p>
    <w:p w:rsidR="002A7517" w:rsidRPr="00B660F1" w:rsidRDefault="002A7517" w:rsidP="007975C3">
      <w:pPr>
        <w:pStyle w:val="paragraph"/>
        <w:numPr>
          <w:ilvl w:val="0"/>
          <w:numId w:val="1"/>
        </w:numPr>
        <w:shd w:val="clear" w:color="auto" w:fill="FFFFFF"/>
        <w:spacing w:before="0" w:beforeAutospacing="0"/>
        <w:ind w:hanging="436"/>
        <w:rPr>
          <w:color w:val="343A40"/>
          <w:sz w:val="28"/>
          <w:szCs w:val="28"/>
        </w:rPr>
      </w:pPr>
      <w:r w:rsidRPr="00B660F1">
        <w:rPr>
          <w:rStyle w:val="textrun"/>
          <w:rFonts w:eastAsia="SimSun"/>
          <w:color w:val="343A40"/>
          <w:sz w:val="28"/>
          <w:szCs w:val="28"/>
        </w:rPr>
        <w:t xml:space="preserve">Лабораторное обеспечение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таргетной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терапии. Острый </w:t>
      </w:r>
      <w:proofErr w:type="spellStart"/>
      <w:r w:rsidRPr="00B660F1">
        <w:rPr>
          <w:rStyle w:val="textrun"/>
          <w:rFonts w:eastAsia="SimSun"/>
          <w:color w:val="343A40"/>
          <w:sz w:val="28"/>
          <w:szCs w:val="28"/>
        </w:rPr>
        <w:t>лимфобластный</w:t>
      </w:r>
      <w:proofErr w:type="spellEnd"/>
      <w:r w:rsidRPr="00B660F1">
        <w:rPr>
          <w:rStyle w:val="textrun"/>
          <w:rFonts w:eastAsia="SimSun"/>
          <w:color w:val="343A40"/>
          <w:sz w:val="28"/>
          <w:szCs w:val="28"/>
        </w:rPr>
        <w:t xml:space="preserve"> лейкоз, осложненный филадельфийской хромосомой.</w:t>
      </w:r>
      <w:r w:rsidR="00FF4DEF" w:rsidRPr="00B660F1">
        <w:rPr>
          <w:rStyle w:val="textrun"/>
          <w:rFonts w:eastAsia="SimSun"/>
          <w:color w:val="343A40"/>
          <w:sz w:val="28"/>
          <w:szCs w:val="28"/>
        </w:rPr>
        <w:t xml:space="preserve"> Показания к назначению препарата Гливек.</w:t>
      </w:r>
    </w:p>
    <w:p w:rsidR="00AA39A3" w:rsidRDefault="00AA39A3"/>
    <w:sectPr w:rsidR="00A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21B"/>
    <w:multiLevelType w:val="multilevel"/>
    <w:tmpl w:val="D35C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342B"/>
    <w:multiLevelType w:val="multilevel"/>
    <w:tmpl w:val="0D3A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EBF"/>
    <w:multiLevelType w:val="multilevel"/>
    <w:tmpl w:val="834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81221"/>
    <w:multiLevelType w:val="multilevel"/>
    <w:tmpl w:val="846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A3160"/>
    <w:multiLevelType w:val="multilevel"/>
    <w:tmpl w:val="D2C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93EF0"/>
    <w:multiLevelType w:val="multilevel"/>
    <w:tmpl w:val="82E6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66064"/>
    <w:multiLevelType w:val="multilevel"/>
    <w:tmpl w:val="6E4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624A9"/>
    <w:multiLevelType w:val="multilevel"/>
    <w:tmpl w:val="1EF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72968"/>
    <w:multiLevelType w:val="multilevel"/>
    <w:tmpl w:val="6FBC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3099D"/>
    <w:multiLevelType w:val="multilevel"/>
    <w:tmpl w:val="E41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583F"/>
    <w:multiLevelType w:val="multilevel"/>
    <w:tmpl w:val="2036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73112"/>
    <w:multiLevelType w:val="multilevel"/>
    <w:tmpl w:val="7E88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F4945"/>
    <w:multiLevelType w:val="multilevel"/>
    <w:tmpl w:val="2036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6"/>
    <w:rsid w:val="0011105A"/>
    <w:rsid w:val="001E6901"/>
    <w:rsid w:val="00204DC6"/>
    <w:rsid w:val="00230F5B"/>
    <w:rsid w:val="002924FB"/>
    <w:rsid w:val="002A7517"/>
    <w:rsid w:val="004D515F"/>
    <w:rsid w:val="005375A1"/>
    <w:rsid w:val="0055076A"/>
    <w:rsid w:val="00557730"/>
    <w:rsid w:val="005B30A6"/>
    <w:rsid w:val="006056CE"/>
    <w:rsid w:val="00647072"/>
    <w:rsid w:val="006B150B"/>
    <w:rsid w:val="00701073"/>
    <w:rsid w:val="007975C3"/>
    <w:rsid w:val="007B2BCA"/>
    <w:rsid w:val="007D7117"/>
    <w:rsid w:val="00803E10"/>
    <w:rsid w:val="00814CF0"/>
    <w:rsid w:val="008A07E4"/>
    <w:rsid w:val="00986B2B"/>
    <w:rsid w:val="00A340CD"/>
    <w:rsid w:val="00A660CB"/>
    <w:rsid w:val="00A675FB"/>
    <w:rsid w:val="00AA39A3"/>
    <w:rsid w:val="00B47249"/>
    <w:rsid w:val="00B660F1"/>
    <w:rsid w:val="00CB02A2"/>
    <w:rsid w:val="00DC6AE3"/>
    <w:rsid w:val="00F3233E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DC2"/>
  <w15:chartTrackingRefBased/>
  <w15:docId w15:val="{40A5FEBE-2C26-4D94-BC4C-E4346060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72"/>
    <w:pPr>
      <w:spacing w:after="120" w:line="24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47072"/>
    <w:pPr>
      <w:keepNext/>
      <w:keepLines/>
      <w:spacing w:before="240" w:after="0"/>
      <w:outlineLvl w:val="0"/>
    </w:pPr>
    <w:rPr>
      <w:rFonts w:eastAsia="SimSun" w:cs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7072"/>
    <w:pPr>
      <w:keepNext/>
      <w:keepLines/>
      <w:spacing w:before="240"/>
      <w:ind w:firstLine="0"/>
      <w:contextualSpacing w:val="0"/>
      <w:jc w:val="center"/>
      <w:outlineLvl w:val="1"/>
    </w:pPr>
    <w:rPr>
      <w:rFonts w:eastAsia="SimSu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7072"/>
    <w:rPr>
      <w:rFonts w:ascii="Times New Roman" w:eastAsia="SimSun" w:hAnsi="Times New Roman" w:cs="Times New Roman"/>
      <w:b/>
      <w:sz w:val="28"/>
      <w:szCs w:val="32"/>
    </w:rPr>
  </w:style>
  <w:style w:type="paragraph" w:styleId="a3">
    <w:name w:val="No Spacing"/>
    <w:aliases w:val="Обычн_табл"/>
    <w:autoRedefine/>
    <w:uiPriority w:val="1"/>
    <w:qFormat/>
    <w:rsid w:val="006470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20">
    <w:name w:val="Заголовок 2 Знак"/>
    <w:link w:val="2"/>
    <w:uiPriority w:val="9"/>
    <w:rsid w:val="00647072"/>
    <w:rPr>
      <w:rFonts w:ascii="Times New Roman" w:eastAsia="SimSu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B30A6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paragraph">
    <w:name w:val="paragraph"/>
    <w:basedOn w:val="a"/>
    <w:rsid w:val="00803E1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textrun">
    <w:name w:val="textrun"/>
    <w:basedOn w:val="a0"/>
    <w:rsid w:val="00803E10"/>
  </w:style>
  <w:style w:type="character" w:customStyle="1" w:styleId="eop">
    <w:name w:val="eop"/>
    <w:basedOn w:val="a0"/>
    <w:rsid w:val="00803E10"/>
  </w:style>
  <w:style w:type="character" w:customStyle="1" w:styleId="spellingerror">
    <w:name w:val="spellingerror"/>
    <w:basedOn w:val="a0"/>
    <w:rsid w:val="00803E10"/>
  </w:style>
  <w:style w:type="character" w:customStyle="1" w:styleId="normaltextrun">
    <w:name w:val="normaltextrun"/>
    <w:basedOn w:val="a0"/>
    <w:rsid w:val="0080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DA3-A8A2-45DE-B394-8CE84B89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838</Words>
  <Characters>6668</Characters>
  <Application>Microsoft Office Word</Application>
  <DocSecurity>0</DocSecurity>
  <Lines>144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Ostrovskij</dc:creator>
  <cp:keywords/>
  <dc:description/>
  <cp:lastModifiedBy>Пользователь Windows</cp:lastModifiedBy>
  <cp:revision>3</cp:revision>
  <dcterms:created xsi:type="dcterms:W3CDTF">2022-06-09T12:55:00Z</dcterms:created>
  <dcterms:modified xsi:type="dcterms:W3CDTF">2022-06-09T13:26:00Z</dcterms:modified>
</cp:coreProperties>
</file>